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sz w:val="22"/>
          <w:szCs w:val="22"/>
          <w:u w:val="single"/>
        </w:rPr>
      </w:pPr>
      <w:r>
        <w:drawing>
          <wp:anchor distT="0" distB="0" distL="0" distR="0" simplePos="0" relativeHeight="251822080" behindDoc="0" locked="0" layoutInCell="1" allowOverlap="1">
            <wp:simplePos x="0" y="0"/>
            <wp:positionH relativeFrom="column">
              <wp:posOffset>-440690</wp:posOffset>
            </wp:positionH>
            <wp:positionV relativeFrom="paragraph">
              <wp:posOffset>180340</wp:posOffset>
            </wp:positionV>
            <wp:extent cx="6240145" cy="1095375"/>
            <wp:effectExtent l="0" t="0" r="8255" b="9525"/>
            <wp:wrapNone/>
            <wp:docPr id="16" name="图片 1" descr="log"/>
            <wp:cNvGraphicFramePr/>
            <a:graphic xmlns:a="http://schemas.openxmlformats.org/drawingml/2006/main">
              <a:graphicData uri="http://schemas.openxmlformats.org/drawingml/2006/picture">
                <pic:pic xmlns:pic="http://schemas.openxmlformats.org/drawingml/2006/picture">
                  <pic:nvPicPr>
                    <pic:cNvPr id="16" name="图片 1" descr="log"/>
                    <pic:cNvPicPr/>
                  </pic:nvPicPr>
                  <pic:blipFill>
                    <a:blip r:embed="rId8">
                      <a:extLst>
                        <a:ext uri="{28A0092B-C50C-407E-A947-70E740481C1C}">
                          <a14:useLocalDpi xmlns:a14="http://schemas.microsoft.com/office/drawing/2010/main" val="0"/>
                        </a:ext>
                      </a:extLst>
                    </a:blip>
                    <a:srcRect/>
                    <a:stretch>
                      <a:fillRect/>
                    </a:stretch>
                  </pic:blipFill>
                  <pic:spPr>
                    <a:xfrm>
                      <a:off x="0" y="0"/>
                      <a:ext cx="6240145" cy="1095375"/>
                    </a:xfrm>
                    <a:prstGeom prst="rect">
                      <a:avLst/>
                    </a:prstGeom>
                    <a:noFill/>
                    <a:ln>
                      <a:noFill/>
                    </a:ln>
                  </pic:spPr>
                </pic:pic>
              </a:graphicData>
            </a:graphic>
          </wp:anchor>
        </w:drawing>
      </w:r>
    </w:p>
    <w:p>
      <w:pPr>
        <w:jc w:val="center"/>
        <w:rPr>
          <w:rFonts w:ascii="宋体" w:hAnsi="宋体"/>
          <w:b/>
          <w:color w:val="FF0000"/>
          <w:sz w:val="52"/>
          <w:szCs w:val="52"/>
        </w:rPr>
      </w:pPr>
    </w:p>
    <w:p>
      <w:pPr>
        <w:rPr>
          <w:rFonts w:ascii="宋体" w:hAnsi="宋体"/>
          <w:b/>
          <w:color w:val="FF0000"/>
          <w:sz w:val="52"/>
          <w:szCs w:val="52"/>
        </w:rPr>
      </w:pPr>
    </w:p>
    <w:p>
      <w:pPr>
        <w:jc w:val="center"/>
        <w:rPr>
          <w:rFonts w:ascii="宋体" w:hAnsi="宋体"/>
          <w:b/>
          <w:color w:val="FF0000"/>
          <w:sz w:val="52"/>
          <w:szCs w:val="52"/>
        </w:rPr>
      </w:pPr>
      <w:r>
        <w:rPr>
          <w:rFonts w:hint="eastAsia" w:ascii="宋体" w:hAnsi="宋体"/>
          <w:b/>
          <w:color w:val="FF0000"/>
          <w:sz w:val="52"/>
          <w:szCs w:val="52"/>
        </w:rPr>
        <w:t>简 报</w:t>
      </w:r>
    </w:p>
    <w:p>
      <w:pPr>
        <w:jc w:val="center"/>
        <w:rPr>
          <w:rFonts w:hint="eastAsia" w:ascii="宋体" w:hAnsi="宋体"/>
          <w:color w:val="000000"/>
          <w:sz w:val="24"/>
        </w:rPr>
      </w:pPr>
    </w:p>
    <w:p>
      <w:pPr>
        <w:jc w:val="center"/>
        <w:rPr>
          <w:rFonts w:ascii="宋体" w:hAnsi="宋体"/>
          <w:color w:val="000000"/>
          <w:sz w:val="24"/>
        </w:rPr>
      </w:pPr>
      <w:r>
        <w:rPr>
          <w:rFonts w:hint="eastAsia" w:ascii="宋体" w:hAnsi="宋体"/>
          <w:color w:val="000000"/>
          <w:sz w:val="24"/>
        </w:rPr>
        <w:t>【2019】第1期</w:t>
      </w:r>
    </w:p>
    <w:p>
      <w:pPr>
        <w:jc w:val="center"/>
        <w:rPr>
          <w:rFonts w:ascii="宋体" w:hAnsi="宋体"/>
          <w:sz w:val="24"/>
        </w:rPr>
      </w:pPr>
      <w:r>
        <w:rPr>
          <w:rFonts w:hint="eastAsia" w:ascii="宋体" w:hAnsi="宋体"/>
          <w:sz w:val="24"/>
        </w:rPr>
        <w:t>二〇一九年十一月</w:t>
      </w:r>
    </w:p>
    <w:p>
      <w:pPr>
        <w:pStyle w:val="11"/>
        <w:tabs>
          <w:tab w:val="right" w:leader="dot" w:pos="3195"/>
        </w:tabs>
        <w:spacing w:line="360" w:lineRule="auto"/>
        <w:rPr>
          <w:rFonts w:hint="eastAsia" w:ascii="STKaiti" w:hAnsi="STKaiti" w:eastAsia="STKaiti"/>
          <w:b w:val="0"/>
          <w:i/>
          <w:iCs/>
          <w:caps w:val="0"/>
          <w:color w:val="FF0000"/>
          <w:sz w:val="22"/>
          <w:szCs w:val="22"/>
          <w:u w:val="single"/>
        </w:rPr>
      </w:pPr>
      <w:r>
        <w:rPr>
          <w:rFonts w:ascii="宋体" w:hAnsi="宋体"/>
          <w:sz w:val="36"/>
          <w:szCs w:val="36"/>
        </w:rPr>
        <w:drawing>
          <wp:anchor distT="0" distB="0" distL="114300" distR="114300" simplePos="0" relativeHeight="251821056" behindDoc="0" locked="0" layoutInCell="1" allowOverlap="1">
            <wp:simplePos x="0" y="0"/>
            <wp:positionH relativeFrom="margin">
              <wp:posOffset>431165</wp:posOffset>
            </wp:positionH>
            <wp:positionV relativeFrom="paragraph">
              <wp:posOffset>174625</wp:posOffset>
            </wp:positionV>
            <wp:extent cx="4485005" cy="45085"/>
            <wp:effectExtent l="0" t="0" r="0" b="0"/>
            <wp:wrapSquare wrapText="right"/>
            <wp:docPr id="17" name="图片 6" descr="%257d@%257bJ6~FLMTA%257dNV_F8S0I%2560ED"/>
            <wp:cNvGraphicFramePr/>
            <a:graphic xmlns:a="http://schemas.openxmlformats.org/drawingml/2006/main">
              <a:graphicData uri="http://schemas.openxmlformats.org/drawingml/2006/picture">
                <pic:pic xmlns:pic="http://schemas.openxmlformats.org/drawingml/2006/picture">
                  <pic:nvPicPr>
                    <pic:cNvPr id="17" name="图片 6" descr="%257d@%257bJ6~FLMTA%257dNV_F8S0I%2560ED"/>
                    <pic:cNvPicPr/>
                  </pic:nvPicPr>
                  <pic:blipFill>
                    <a:blip r:embed="rId9">
                      <a:extLst>
                        <a:ext uri="{28A0092B-C50C-407E-A947-70E740481C1C}">
                          <a14:useLocalDpi xmlns:a14="http://schemas.microsoft.com/office/drawing/2010/main" val="0"/>
                        </a:ext>
                      </a:extLst>
                    </a:blip>
                    <a:srcRect/>
                    <a:stretch>
                      <a:fillRect/>
                    </a:stretch>
                  </pic:blipFill>
                  <pic:spPr>
                    <a:xfrm flipV="1">
                      <a:off x="0" y="0"/>
                      <a:ext cx="4485005" cy="45085"/>
                    </a:xfrm>
                    <a:prstGeom prst="rect">
                      <a:avLst/>
                    </a:prstGeom>
                    <a:noFill/>
                    <a:ln>
                      <a:noFill/>
                    </a:ln>
                  </pic:spPr>
                </pic:pic>
              </a:graphicData>
            </a:graphic>
          </wp:anchor>
        </w:drawing>
      </w:r>
    </w:p>
    <w:p>
      <w:pPr>
        <w:pStyle w:val="11"/>
        <w:tabs>
          <w:tab w:val="right" w:leader="dot" w:pos="3195"/>
        </w:tabs>
        <w:spacing w:line="360" w:lineRule="auto"/>
        <w:jc w:val="center"/>
        <w:rPr>
          <w:rFonts w:hAnsiTheme="minorHAnsi" w:eastAsiaTheme="minorEastAsia" w:cstheme="minorBidi"/>
          <w:b w:val="0"/>
          <w:bCs w:val="0"/>
          <w:caps w:val="0"/>
          <w:sz w:val="21"/>
          <w:szCs w:val="22"/>
        </w:rPr>
      </w:pPr>
      <w:r>
        <w:rPr>
          <w:rFonts w:ascii="STKaiti" w:hAnsi="STKaiti" w:eastAsia="STKaiti"/>
          <w:b w:val="0"/>
          <w:i/>
          <w:iCs/>
          <w:caps w:val="0"/>
          <w:color w:val="FF0000"/>
          <w:sz w:val="22"/>
          <w:szCs w:val="22"/>
          <w:u w:val="single"/>
        </w:rPr>
        <w:fldChar w:fldCharType="begin"/>
      </w:r>
      <w:r>
        <w:rPr>
          <w:rFonts w:ascii="STKaiti" w:hAnsi="STKaiti" w:eastAsia="STKaiti"/>
          <w:b w:val="0"/>
          <w:i/>
          <w:iCs/>
          <w:caps w:val="0"/>
          <w:color w:val="FF0000"/>
          <w:sz w:val="22"/>
          <w:szCs w:val="22"/>
          <w:u w:val="single"/>
        </w:rPr>
        <w:instrText xml:space="preserve"> TOC \o "1-3" \h \z \u </w:instrText>
      </w:r>
      <w:r>
        <w:rPr>
          <w:rFonts w:ascii="STKaiti" w:hAnsi="STKaiti" w:eastAsia="STKaiti"/>
          <w:b w:val="0"/>
          <w:i/>
          <w:iCs/>
          <w:caps w:val="0"/>
          <w:color w:val="FF0000"/>
          <w:sz w:val="22"/>
          <w:szCs w:val="22"/>
          <w:u w:val="single"/>
        </w:rPr>
        <w:fldChar w:fldCharType="separate"/>
      </w:r>
      <w:r>
        <w:fldChar w:fldCharType="begin"/>
      </w:r>
      <w:r>
        <w:instrText xml:space="preserve"> HYPERLINK \l "_Toc24827437" </w:instrText>
      </w:r>
      <w:r>
        <w:fldChar w:fldCharType="separate"/>
      </w:r>
      <w:r>
        <w:rPr>
          <w:rStyle w:val="23"/>
        </w:rPr>
        <w:t>学会第四次会员代表大会在南开大学召开……................................................</w:t>
      </w:r>
      <w:r>
        <w:fldChar w:fldCharType="begin"/>
      </w:r>
      <w:r>
        <w:instrText xml:space="preserve"> PAGEREF _Toc24827437 \h </w:instrText>
      </w:r>
      <w:r>
        <w:fldChar w:fldCharType="separate"/>
      </w:r>
      <w:r>
        <w:t>1</w:t>
      </w:r>
      <w:r>
        <w:fldChar w:fldCharType="end"/>
      </w:r>
      <w:r>
        <w:fldChar w:fldCharType="end"/>
      </w:r>
    </w:p>
    <w:p>
      <w:pPr>
        <w:pStyle w:val="11"/>
        <w:tabs>
          <w:tab w:val="right" w:leader="dot" w:pos="3195"/>
        </w:tabs>
        <w:spacing w:line="360" w:lineRule="auto"/>
        <w:jc w:val="center"/>
        <w:rPr>
          <w:rFonts w:hAnsiTheme="minorHAnsi" w:eastAsiaTheme="minorEastAsia" w:cstheme="minorBidi"/>
          <w:b w:val="0"/>
          <w:bCs w:val="0"/>
          <w:caps w:val="0"/>
          <w:sz w:val="21"/>
          <w:szCs w:val="22"/>
        </w:rPr>
      </w:pPr>
      <w:r>
        <w:rPr>
          <w:rStyle w:val="23"/>
          <w:color w:val="000000" w:themeColor="text1"/>
          <w:u w:val="none"/>
          <w14:textFill>
            <w14:solidFill>
              <w14:schemeClr w14:val="tx1"/>
            </w14:solidFill>
          </w14:textFill>
        </w:rPr>
        <w:t>学会推出</w:t>
      </w:r>
      <w:r>
        <w:rPr>
          <w:rStyle w:val="23"/>
          <w:rFonts w:hint="eastAsia"/>
          <w:color w:val="000000" w:themeColor="text1"/>
          <w:u w:val="none"/>
          <w14:textFill>
            <w14:solidFill>
              <w14:schemeClr w14:val="tx1"/>
            </w14:solidFill>
          </w14:textFill>
        </w:rPr>
        <w:t>“</w:t>
      </w:r>
      <w:r>
        <w:fldChar w:fldCharType="begin"/>
      </w:r>
      <w:r>
        <w:instrText xml:space="preserve"> HYPERLINK \l "_Toc24827438" </w:instrText>
      </w:r>
      <w:r>
        <w:fldChar w:fldCharType="separate"/>
      </w:r>
      <w:r>
        <w:rPr>
          <w:rStyle w:val="23"/>
        </w:rPr>
        <w:t>天津市工业与应用数学学会系列报告</w:t>
      </w:r>
      <w:r>
        <w:rPr>
          <w:rStyle w:val="23"/>
          <w:rFonts w:hint="eastAsia"/>
        </w:rPr>
        <w:t>”</w:t>
      </w:r>
      <w:r>
        <w:rPr>
          <w:rStyle w:val="23"/>
        </w:rPr>
        <w:t>….……………………….</w:t>
      </w:r>
      <w:r>
        <w:tab/>
      </w:r>
      <w:r>
        <w:fldChar w:fldCharType="begin"/>
      </w:r>
      <w:r>
        <w:instrText xml:space="preserve"> PAGEREF _Toc24827438 \h </w:instrText>
      </w:r>
      <w:r>
        <w:fldChar w:fldCharType="separate"/>
      </w:r>
      <w:r>
        <w:t>3</w:t>
      </w:r>
      <w:r>
        <w:fldChar w:fldCharType="end"/>
      </w:r>
      <w:r>
        <w:fldChar w:fldCharType="end"/>
      </w:r>
    </w:p>
    <w:p>
      <w:pPr>
        <w:pStyle w:val="14"/>
        <w:tabs>
          <w:tab w:val="right" w:leader="dot" w:pos="3195"/>
        </w:tabs>
        <w:spacing w:line="360" w:lineRule="auto"/>
        <w:jc w:val="center"/>
        <w:rPr>
          <w:rFonts w:hAnsiTheme="minorHAnsi" w:eastAsiaTheme="minorEastAsia" w:cstheme="minorBidi"/>
          <w:smallCaps w:val="0"/>
          <w:sz w:val="21"/>
          <w:szCs w:val="22"/>
        </w:rPr>
      </w:pPr>
      <w:r>
        <w:fldChar w:fldCharType="begin"/>
      </w:r>
      <w:r>
        <w:instrText xml:space="preserve"> HYPERLINK \l "_Toc24827439" </w:instrText>
      </w:r>
      <w:r>
        <w:fldChar w:fldCharType="separate"/>
      </w:r>
      <w:r>
        <w:rPr>
          <w:rStyle w:val="23"/>
        </w:rPr>
        <w:t>第1讲：AI与数学：融通共进—徐宗本院士……………………………</w:t>
      </w:r>
      <w:r>
        <w:tab/>
      </w:r>
      <w:r>
        <w:fldChar w:fldCharType="begin"/>
      </w:r>
      <w:r>
        <w:instrText xml:space="preserve"> PAGEREF _Toc24827439 \h </w:instrText>
      </w:r>
      <w:r>
        <w:fldChar w:fldCharType="separate"/>
      </w:r>
      <w:r>
        <w:t>3</w:t>
      </w:r>
      <w:r>
        <w:fldChar w:fldCharType="end"/>
      </w:r>
      <w:r>
        <w:fldChar w:fldCharType="end"/>
      </w:r>
    </w:p>
    <w:p>
      <w:pPr>
        <w:pStyle w:val="14"/>
        <w:tabs>
          <w:tab w:val="right" w:leader="dot" w:pos="3195"/>
        </w:tabs>
        <w:spacing w:line="360" w:lineRule="auto"/>
        <w:jc w:val="center"/>
        <w:rPr>
          <w:rFonts w:hAnsiTheme="minorHAnsi" w:eastAsiaTheme="minorEastAsia" w:cstheme="minorBidi"/>
          <w:smallCaps w:val="0"/>
          <w:sz w:val="21"/>
          <w:szCs w:val="22"/>
        </w:rPr>
      </w:pPr>
      <w:r>
        <w:fldChar w:fldCharType="begin"/>
      </w:r>
      <w:r>
        <w:instrText xml:space="preserve"> HYPERLINK \l "_Toc24827440" </w:instrText>
      </w:r>
      <w:r>
        <w:fldChar w:fldCharType="separate"/>
      </w:r>
      <w:r>
        <w:rPr>
          <w:rStyle w:val="23"/>
        </w:rPr>
        <w:t>第2讲：两边市场的理论研究和挑战—朱宏图教授</w:t>
      </w:r>
      <w:r>
        <w:tab/>
      </w:r>
      <w:r>
        <w:t>…………………….</w:t>
      </w:r>
      <w:r>
        <w:fldChar w:fldCharType="begin"/>
      </w:r>
      <w:r>
        <w:instrText xml:space="preserve"> PAGEREF _Toc24827440 \h </w:instrText>
      </w:r>
      <w:r>
        <w:fldChar w:fldCharType="separate"/>
      </w:r>
      <w:r>
        <w:t>4</w:t>
      </w:r>
      <w:r>
        <w:fldChar w:fldCharType="end"/>
      </w:r>
      <w:r>
        <w:fldChar w:fldCharType="end"/>
      </w:r>
    </w:p>
    <w:p>
      <w:pPr>
        <w:pStyle w:val="14"/>
        <w:tabs>
          <w:tab w:val="right" w:leader="dot" w:pos="3195"/>
        </w:tabs>
        <w:spacing w:line="360" w:lineRule="auto"/>
        <w:jc w:val="center"/>
        <w:rPr>
          <w:rFonts w:hAnsiTheme="minorHAnsi" w:eastAsiaTheme="minorEastAsia" w:cstheme="minorBidi"/>
          <w:smallCaps w:val="0"/>
          <w:sz w:val="21"/>
          <w:szCs w:val="22"/>
        </w:rPr>
      </w:pPr>
      <w:r>
        <w:fldChar w:fldCharType="begin"/>
      </w:r>
      <w:r>
        <w:instrText xml:space="preserve"> HYPERLINK \l "_Toc24827441" </w:instrText>
      </w:r>
      <w:r>
        <w:fldChar w:fldCharType="separate"/>
      </w:r>
      <w:r>
        <w:rPr>
          <w:rStyle w:val="23"/>
        </w:rPr>
        <w:t>第3讲：随机矩阵与SYK模型—田刚</w:t>
      </w:r>
      <w:r>
        <w:rPr>
          <w:rStyle w:val="23"/>
          <w:rFonts w:hint="eastAsia"/>
        </w:rPr>
        <w:t>院士</w:t>
      </w:r>
      <w:r>
        <w:t>……………………………….</w:t>
      </w:r>
      <w:r>
        <w:fldChar w:fldCharType="begin"/>
      </w:r>
      <w:r>
        <w:instrText xml:space="preserve"> PAGEREF _Toc24827441 \h </w:instrText>
      </w:r>
      <w:r>
        <w:fldChar w:fldCharType="separate"/>
      </w:r>
      <w:r>
        <w:t>5</w:t>
      </w:r>
      <w:r>
        <w:fldChar w:fldCharType="end"/>
      </w:r>
      <w:r>
        <w:fldChar w:fldCharType="end"/>
      </w:r>
    </w:p>
    <w:p>
      <w:pPr>
        <w:pStyle w:val="14"/>
        <w:tabs>
          <w:tab w:val="right" w:leader="dot" w:pos="3195"/>
        </w:tabs>
        <w:spacing w:line="360" w:lineRule="auto"/>
        <w:jc w:val="center"/>
        <w:rPr>
          <w:rFonts w:hAnsiTheme="minorHAnsi" w:eastAsiaTheme="minorEastAsia" w:cstheme="minorBidi"/>
          <w:smallCaps w:val="0"/>
          <w:sz w:val="21"/>
          <w:szCs w:val="22"/>
        </w:rPr>
      </w:pPr>
      <w:r>
        <w:fldChar w:fldCharType="begin"/>
      </w:r>
      <w:r>
        <w:instrText xml:space="preserve"> HYPERLINK \l "_Toc24827442" </w:instrText>
      </w:r>
      <w:r>
        <w:fldChar w:fldCharType="separate"/>
      </w:r>
      <w:r>
        <w:rPr>
          <w:rStyle w:val="23"/>
        </w:rPr>
        <w:t>第4讲：交叉研究的感悟—陈木法院士</w:t>
      </w:r>
      <w:r>
        <w:t>………………………………….</w:t>
      </w:r>
      <w:r>
        <w:fldChar w:fldCharType="begin"/>
      </w:r>
      <w:r>
        <w:instrText xml:space="preserve"> PAGEREF _Toc24827442 \h </w:instrText>
      </w:r>
      <w:r>
        <w:fldChar w:fldCharType="separate"/>
      </w:r>
      <w:r>
        <w:t>6</w:t>
      </w:r>
      <w:r>
        <w:fldChar w:fldCharType="end"/>
      </w:r>
      <w:r>
        <w:fldChar w:fldCharType="end"/>
      </w:r>
    </w:p>
    <w:p>
      <w:pPr>
        <w:pStyle w:val="11"/>
        <w:tabs>
          <w:tab w:val="right" w:leader="dot" w:pos="3195"/>
        </w:tabs>
        <w:spacing w:line="360" w:lineRule="auto"/>
        <w:jc w:val="center"/>
        <w:rPr>
          <w:rFonts w:hAnsiTheme="minorHAnsi" w:eastAsiaTheme="minorEastAsia" w:cstheme="minorBidi"/>
          <w:b w:val="0"/>
          <w:bCs w:val="0"/>
          <w:caps w:val="0"/>
          <w:sz w:val="21"/>
          <w:szCs w:val="22"/>
        </w:rPr>
      </w:pPr>
      <w:r>
        <w:fldChar w:fldCharType="begin"/>
      </w:r>
      <w:r>
        <w:instrText xml:space="preserve"> HYPERLINK \l "_Toc24827438" </w:instrText>
      </w:r>
      <w:r>
        <w:fldChar w:fldCharType="separate"/>
      </w:r>
      <w:r>
        <w:rPr>
          <w:rStyle w:val="23"/>
          <w:rFonts w:hint="eastAsia"/>
        </w:rPr>
        <w:t>学会举办多场学术活动</w:t>
      </w:r>
      <w:r>
        <w:rPr>
          <w:rStyle w:val="23"/>
        </w:rPr>
        <w:t>……………………..………………………………</w:t>
      </w:r>
      <w:r>
        <w:t>…</w:t>
      </w:r>
      <w:r>
        <w:rPr>
          <w:rFonts w:hint="eastAsia"/>
        </w:rPr>
        <w:t>7</w:t>
      </w:r>
      <w:r>
        <w:rPr>
          <w:rFonts w:hint="eastAsia"/>
        </w:rPr>
        <w:fldChar w:fldCharType="end"/>
      </w:r>
    </w:p>
    <w:p>
      <w:pPr>
        <w:pStyle w:val="14"/>
        <w:tabs>
          <w:tab w:val="right" w:leader="dot" w:pos="3195"/>
        </w:tabs>
        <w:spacing w:line="360" w:lineRule="auto"/>
        <w:jc w:val="center"/>
        <w:rPr>
          <w:rFonts w:hAnsiTheme="minorHAnsi" w:eastAsiaTheme="minorEastAsia" w:cstheme="minorBidi"/>
          <w:smallCaps w:val="0"/>
          <w:sz w:val="21"/>
          <w:szCs w:val="22"/>
        </w:rPr>
      </w:pPr>
      <w:r>
        <w:fldChar w:fldCharType="begin"/>
      </w:r>
      <w:r>
        <w:instrText xml:space="preserve"> HYPERLINK \l "_Toc24827439" </w:instrText>
      </w:r>
      <w:r>
        <w:fldChar w:fldCharType="separate"/>
      </w:r>
      <w:r>
        <w:rPr>
          <w:rStyle w:val="23"/>
        </w:rPr>
        <w:t>全国重点中学数学骨干教师南开论坛暨数学人才贯通式培养研讨会…</w:t>
      </w:r>
      <w:r>
        <w:tab/>
      </w:r>
      <w:r>
        <w:rPr>
          <w:rFonts w:hint="eastAsia"/>
        </w:rPr>
        <w:t>7</w:t>
      </w:r>
      <w:r>
        <w:rPr>
          <w:rFonts w:hint="eastAsia"/>
        </w:rPr>
        <w:fldChar w:fldCharType="end"/>
      </w:r>
    </w:p>
    <w:p>
      <w:pPr>
        <w:pStyle w:val="14"/>
        <w:tabs>
          <w:tab w:val="right" w:leader="dot" w:pos="3195"/>
        </w:tabs>
        <w:spacing w:line="360" w:lineRule="auto"/>
        <w:jc w:val="center"/>
      </w:pPr>
      <w:r>
        <w:fldChar w:fldCharType="begin"/>
      </w:r>
      <w:r>
        <w:instrText xml:space="preserve"> HYPERLINK \l "_Toc24827440" </w:instrText>
      </w:r>
      <w:r>
        <w:fldChar w:fldCharType="separate"/>
      </w:r>
      <w:r>
        <w:rPr>
          <w:rStyle w:val="23"/>
          <w:rFonts w:hint="eastAsia"/>
        </w:rPr>
        <w:t>第六届图论与组合优化研讨会在南开大学举办</w:t>
      </w:r>
      <w:r>
        <w:t>….……………………….</w:t>
      </w:r>
      <w:r>
        <w:rPr>
          <w:rFonts w:hint="eastAsia"/>
        </w:rPr>
        <w:t>9</w:t>
      </w:r>
      <w:r>
        <w:rPr>
          <w:rFonts w:hint="eastAsia"/>
        </w:rPr>
        <w:fldChar w:fldCharType="end"/>
      </w:r>
    </w:p>
    <w:p>
      <w:pPr>
        <w:pStyle w:val="14"/>
        <w:tabs>
          <w:tab w:val="right" w:leader="dot" w:pos="3195"/>
        </w:tabs>
        <w:spacing w:line="360" w:lineRule="auto"/>
        <w:jc w:val="center"/>
        <w:rPr>
          <w:rFonts w:hAnsiTheme="minorHAnsi" w:eastAsiaTheme="minorEastAsia" w:cstheme="minorBidi"/>
          <w:smallCaps w:val="0"/>
          <w:sz w:val="21"/>
          <w:szCs w:val="22"/>
        </w:rPr>
      </w:pPr>
      <w:r>
        <w:fldChar w:fldCharType="begin"/>
      </w:r>
      <w:r>
        <w:instrText xml:space="preserve"> HYPERLINK \l "_Toc24827446" </w:instrText>
      </w:r>
      <w:r>
        <w:fldChar w:fldCharType="separate"/>
      </w:r>
      <w:r>
        <w:rPr>
          <w:rStyle w:val="23"/>
          <w:rFonts w:ascii="Times New Roman"/>
          <w:kern w:val="44"/>
        </w:rPr>
        <w:t>第一届 “锐思杯” 金融数据与统计建模大赛</w:t>
      </w:r>
      <w:r>
        <w:rPr>
          <w:rStyle w:val="23"/>
          <w:rFonts w:hint="eastAsia" w:ascii="Times New Roman"/>
          <w:kern w:val="44"/>
        </w:rPr>
        <w:t xml:space="preserve"> </w:t>
      </w:r>
      <w:r>
        <w:rPr>
          <w:rStyle w:val="23"/>
          <w:rFonts w:ascii="Times New Roman"/>
          <w:b/>
          <w:kern w:val="44"/>
        </w:rPr>
        <w:t>活动通知</w:t>
      </w:r>
      <w:r>
        <w:rPr>
          <w:rStyle w:val="23"/>
          <w:rFonts w:ascii="Times New Roman"/>
          <w:kern w:val="44"/>
        </w:rPr>
        <w:t>…</w:t>
      </w:r>
      <w:r>
        <w:t>………</w:t>
      </w:r>
      <w:r>
        <w:rPr>
          <w:rFonts w:hint="eastAsia"/>
          <w:lang w:val="en-US" w:eastAsia="zh-CN"/>
        </w:rPr>
        <w:t>...</w:t>
      </w:r>
      <w:bookmarkStart w:id="19" w:name="_GoBack"/>
      <w:bookmarkEnd w:id="19"/>
      <w:r>
        <w:t>…….</w:t>
      </w:r>
      <w:r>
        <w:fldChar w:fldCharType="begin"/>
      </w:r>
      <w:r>
        <w:instrText xml:space="preserve"> PAGEREF _Toc24827446 \h </w:instrText>
      </w:r>
      <w:r>
        <w:fldChar w:fldCharType="separate"/>
      </w:r>
      <w:r>
        <w:t>10</w:t>
      </w:r>
      <w:r>
        <w:fldChar w:fldCharType="end"/>
      </w:r>
      <w:r>
        <w:fldChar w:fldCharType="end"/>
      </w:r>
    </w:p>
    <w:p>
      <w:pPr>
        <w:pStyle w:val="11"/>
        <w:tabs>
          <w:tab w:val="right" w:leader="dot" w:pos="3195"/>
        </w:tabs>
        <w:spacing w:line="360" w:lineRule="auto"/>
        <w:jc w:val="center"/>
        <w:rPr>
          <w:rFonts w:hAnsiTheme="minorHAnsi" w:cstheme="minorBidi"/>
          <w:b w:val="0"/>
          <w:bCs w:val="0"/>
          <w:caps w:val="0"/>
          <w:sz w:val="21"/>
          <w:szCs w:val="22"/>
        </w:rPr>
      </w:pPr>
      <w:r>
        <w:fldChar w:fldCharType="begin"/>
      </w:r>
      <w:r>
        <w:instrText xml:space="preserve"> HYPERLINK \l "_Toc24827438" </w:instrText>
      </w:r>
      <w:r>
        <w:fldChar w:fldCharType="separate"/>
      </w:r>
      <w:r>
        <w:rPr>
          <w:rStyle w:val="23"/>
          <w:rFonts w:hint="eastAsia"/>
        </w:rPr>
        <w:t>学会简讯</w:t>
      </w:r>
      <w:r>
        <w:rPr>
          <w:rStyle w:val="23"/>
        </w:rPr>
        <w:t>……………………………………..………………………………</w:t>
      </w:r>
      <w:r>
        <w:t>…</w:t>
      </w:r>
      <w:r>
        <w:rPr>
          <w:rFonts w:hint="eastAsia"/>
        </w:rPr>
        <w:t>1</w:t>
      </w:r>
      <w:r>
        <w:rPr>
          <w:rFonts w:hint="eastAsia"/>
        </w:rPr>
        <w:fldChar w:fldCharType="end"/>
      </w:r>
      <w:r>
        <w:rPr>
          <w:rFonts w:hint="eastAsia"/>
        </w:rPr>
        <w:t>2</w:t>
      </w:r>
    </w:p>
    <w:p>
      <w:pPr>
        <w:pStyle w:val="14"/>
        <w:tabs>
          <w:tab w:val="right" w:leader="dot" w:pos="3195"/>
        </w:tabs>
        <w:spacing w:line="360" w:lineRule="auto"/>
        <w:ind w:firstLine="1000" w:firstLineChars="500"/>
        <w:jc w:val="both"/>
        <w:rPr>
          <w:rFonts w:hint="default" w:hAnsiTheme="minorHAnsi" w:eastAsiaTheme="minorHAnsi" w:cstheme="minorBidi"/>
          <w:b/>
          <w:bCs/>
          <w:caps/>
          <w:sz w:val="21"/>
          <w:szCs w:val="22"/>
          <w:lang w:val="en-US" w:eastAsia="zh-CN"/>
        </w:rPr>
      </w:pPr>
      <w:r>
        <w:fldChar w:fldCharType="begin"/>
      </w:r>
      <w:r>
        <w:instrText xml:space="preserve"> HYPERLINK \l "_Toc24827446" </w:instrText>
      </w:r>
      <w:r>
        <w:fldChar w:fldCharType="separate"/>
      </w:r>
      <w:r>
        <w:rPr>
          <w:rStyle w:val="23"/>
          <w:rFonts w:hint="eastAsia" w:ascii="Times New Roman"/>
          <w:kern w:val="44"/>
        </w:rPr>
        <w:t>学会参加2</w:t>
      </w:r>
      <w:r>
        <w:rPr>
          <w:rStyle w:val="23"/>
          <w:rFonts w:ascii="Times New Roman"/>
          <w:kern w:val="44"/>
        </w:rPr>
        <w:t>019年天津</w:t>
      </w:r>
      <w:r>
        <w:rPr>
          <w:rStyle w:val="23"/>
          <w:rFonts w:hint="eastAsia" w:ascii="Times New Roman"/>
          <w:kern w:val="44"/>
        </w:rPr>
        <w:t>全国</w:t>
      </w:r>
      <w:r>
        <w:rPr>
          <w:rStyle w:val="23"/>
          <w:rFonts w:ascii="Times New Roman"/>
          <w:kern w:val="44"/>
        </w:rPr>
        <w:t>科普日活动……………………..</w:t>
      </w:r>
      <w:r>
        <w:t>……. .…….</w:t>
      </w:r>
      <w:r>
        <w:rPr>
          <w:rFonts w:hint="eastAsia"/>
        </w:rPr>
        <w:t>1</w:t>
      </w:r>
      <w:r>
        <w:rPr>
          <w:rFonts w:hint="eastAsia"/>
        </w:rPr>
        <w:fldChar w:fldCharType="end"/>
      </w:r>
      <w:r>
        <w:rPr>
          <w:rFonts w:hint="eastAsia"/>
        </w:rPr>
        <w:t>2</w:t>
      </w:r>
    </w:p>
    <w:p>
      <w:pPr>
        <w:pStyle w:val="14"/>
        <w:tabs>
          <w:tab w:val="right" w:leader="dot" w:pos="3195"/>
        </w:tabs>
        <w:spacing w:line="360" w:lineRule="auto"/>
        <w:ind w:firstLine="1000" w:firstLineChars="500"/>
        <w:jc w:val="both"/>
        <w:rPr>
          <w:rStyle w:val="23"/>
          <w:rFonts w:hint="eastAsia"/>
        </w:rPr>
      </w:pPr>
      <w:r>
        <w:fldChar w:fldCharType="begin"/>
      </w:r>
      <w:r>
        <w:instrText xml:space="preserve"> HYPERLINK \l "_Toc24827440" </w:instrText>
      </w:r>
      <w:r>
        <w:fldChar w:fldCharType="separate"/>
      </w:r>
      <w:r>
        <w:rPr>
          <w:rStyle w:val="23"/>
          <w:rFonts w:hint="eastAsia"/>
        </w:rPr>
        <w:t>学会参加“不忘初心、牢记使命”主题教育暨党建工作和阵地</w:t>
      </w:r>
    </w:p>
    <w:p>
      <w:pPr>
        <w:pStyle w:val="14"/>
        <w:tabs>
          <w:tab w:val="right" w:leader="dot" w:pos="3195"/>
        </w:tabs>
        <w:spacing w:line="360" w:lineRule="auto"/>
        <w:ind w:firstLine="1000" w:firstLineChars="500"/>
        <w:jc w:val="both"/>
      </w:pPr>
      <w:r>
        <w:rPr>
          <w:rStyle w:val="23"/>
          <w:rFonts w:hint="eastAsia"/>
        </w:rPr>
        <w:t>建设交流会</w:t>
      </w:r>
      <w:r>
        <w:t>….…………………………………………………….……….</w:t>
      </w:r>
      <w:r>
        <w:rPr>
          <w:rFonts w:hint="eastAsia"/>
        </w:rPr>
        <w:t>1</w:t>
      </w:r>
      <w:r>
        <w:rPr>
          <w:rFonts w:hint="eastAsia"/>
        </w:rPr>
        <w:fldChar w:fldCharType="end"/>
      </w:r>
      <w:r>
        <w:rPr>
          <w:rFonts w:hint="eastAsia"/>
        </w:rPr>
        <w:t>2</w:t>
      </w:r>
    </w:p>
    <w:p>
      <w:pPr>
        <w:pStyle w:val="14"/>
        <w:tabs>
          <w:tab w:val="right" w:leader="dot" w:pos="3195"/>
        </w:tabs>
        <w:spacing w:line="360" w:lineRule="auto"/>
        <w:ind w:firstLine="1000" w:firstLineChars="500"/>
        <w:jc w:val="both"/>
        <w:rPr>
          <w:rFonts w:hAnsiTheme="minorHAnsi" w:cstheme="minorBidi"/>
          <w:smallCaps w:val="0"/>
          <w:sz w:val="21"/>
          <w:szCs w:val="22"/>
        </w:rPr>
      </w:pPr>
      <w:r>
        <w:fldChar w:fldCharType="begin"/>
      </w:r>
      <w:r>
        <w:instrText xml:space="preserve"> HYPERLINK \l "_Toc24827439" </w:instrText>
      </w:r>
      <w:r>
        <w:fldChar w:fldCharType="separate"/>
      </w:r>
      <w:r>
        <w:rPr>
          <w:rStyle w:val="23"/>
        </w:rPr>
        <w:t>学会参加市科协第九次代表大会…..…………………………………</w:t>
      </w:r>
      <w:r>
        <w:tab/>
      </w:r>
      <w:r>
        <w:rPr>
          <w:rFonts w:hint="eastAsia"/>
        </w:rPr>
        <w:t>1</w:t>
      </w:r>
      <w:r>
        <w:rPr>
          <w:rFonts w:hint="eastAsia"/>
        </w:rPr>
        <w:fldChar w:fldCharType="end"/>
      </w:r>
      <w:r>
        <w:rPr>
          <w:rFonts w:hint="eastAsia"/>
        </w:rPr>
        <w:t>2</w:t>
      </w:r>
    </w:p>
    <w:p>
      <w:pPr>
        <w:pStyle w:val="11"/>
        <w:tabs>
          <w:tab w:val="right" w:leader="dot" w:pos="3195"/>
        </w:tabs>
        <w:spacing w:line="360" w:lineRule="auto"/>
        <w:jc w:val="center"/>
      </w:pPr>
      <w:r>
        <w:fldChar w:fldCharType="begin"/>
      </w:r>
      <w:r>
        <w:instrText xml:space="preserve"> HYPERLINK \l "_Toc24827447" </w:instrText>
      </w:r>
      <w:r>
        <w:fldChar w:fldCharType="separate"/>
      </w:r>
      <w:r>
        <w:rPr>
          <w:rStyle w:val="23"/>
        </w:rPr>
        <w:t>学会第四届理事会名单………………………….…………………………....</w:t>
      </w:r>
      <w:r>
        <w:fldChar w:fldCharType="begin"/>
      </w:r>
      <w:r>
        <w:instrText xml:space="preserve"> PAGEREF _Toc24827447 \h </w:instrText>
      </w:r>
      <w:r>
        <w:fldChar w:fldCharType="separate"/>
      </w:r>
      <w:r>
        <w:t>13</w:t>
      </w:r>
      <w:r>
        <w:fldChar w:fldCharType="end"/>
      </w:r>
      <w:r>
        <w:fldChar w:fldCharType="end"/>
      </w:r>
    </w:p>
    <w:p>
      <w:pPr>
        <w:spacing w:line="360" w:lineRule="auto"/>
        <w:ind w:right="880"/>
        <w:rPr>
          <w:rFonts w:hint="eastAsia" w:ascii="STKaiti" w:hAnsi="STKaiti" w:eastAsia="STKaiti"/>
          <w:b/>
          <w:color w:val="FF0000"/>
          <w:sz w:val="24"/>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r>
        <w:rPr>
          <w:rFonts w:hint="eastAsia" w:ascii="STKaiti" w:hAnsi="STKaiti" w:eastAsia="STKaiti"/>
          <w:b/>
          <w:color w:val="FF0000"/>
          <w:sz w:val="24"/>
        </w:rPr>
        <w:drawing>
          <wp:anchor distT="0" distB="0" distL="114300" distR="114300" simplePos="0" relativeHeight="251824128" behindDoc="0" locked="0" layoutInCell="1" allowOverlap="1">
            <wp:simplePos x="0" y="0"/>
            <wp:positionH relativeFrom="margin">
              <wp:align>left</wp:align>
            </wp:positionH>
            <wp:positionV relativeFrom="paragraph">
              <wp:posOffset>93345</wp:posOffset>
            </wp:positionV>
            <wp:extent cx="5274310" cy="551180"/>
            <wp:effectExtent l="0" t="0" r="2540" b="127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551180"/>
                    </a:xfrm>
                    <a:prstGeom prst="rect">
                      <a:avLst/>
                    </a:prstGeom>
                  </pic:spPr>
                </pic:pic>
              </a:graphicData>
            </a:graphic>
          </wp:anchor>
        </w:drawing>
      </w:r>
      <w:r>
        <w:rPr>
          <w:rFonts w:ascii="STKaiti" w:hAnsi="STKaiti" w:eastAsia="STKaiti"/>
          <w:i/>
          <w:iCs/>
          <w:caps/>
          <w:color w:val="FF0000"/>
          <w:sz w:val="22"/>
          <w:szCs w:val="22"/>
          <w:u w:val="single"/>
        </w:rPr>
        <w:fldChar w:fldCharType="end"/>
      </w:r>
      <w:bookmarkStart w:id="0" w:name="_Toc24720994"/>
    </w:p>
    <w:p>
      <w:pPr>
        <w:pStyle w:val="2"/>
        <w:jc w:val="center"/>
        <w:rPr>
          <w:color w:val="7030A0"/>
          <w:sz w:val="32"/>
          <w:szCs w:val="32"/>
        </w:rPr>
      </w:pPr>
      <w:bookmarkStart w:id="1" w:name="_Toc24827437"/>
      <w:r>
        <w:rPr>
          <w:rFonts w:hint="eastAsia"/>
          <w:color w:val="7030A0"/>
          <w:sz w:val="32"/>
          <w:szCs w:val="32"/>
        </w:rPr>
        <w:t>天津市工业与应用数学学会第四次会员代表大会</w:t>
      </w:r>
      <w:r>
        <w:rPr>
          <w:color w:val="7030A0"/>
          <w:sz w:val="32"/>
          <w:szCs w:val="32"/>
        </w:rPr>
        <w:br w:type="textWrapping"/>
      </w:r>
      <w:r>
        <w:rPr>
          <w:rFonts w:hint="eastAsia"/>
          <w:color w:val="7030A0"/>
          <w:sz w:val="32"/>
          <w:szCs w:val="32"/>
        </w:rPr>
        <w:t>在南开大学召开</w:t>
      </w:r>
      <w:bookmarkEnd w:id="0"/>
      <w:bookmarkEnd w:id="1"/>
    </w:p>
    <w:p>
      <w:pPr>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2019年9月7日下午，天津市工业与应用数学学会第四次会员代表大会在南开大学陈省身数学研究所召开，应到会员代表188人，实到146人。天津市科学技术协会学会部朱大为副部长、天津市科协学会部杨泉同志、学会第三届理事会理事长、南开大学组合数学中心副主任李学良教授，南开大学统计与数据科学学院执行院长、书记王兆军教授等出席会议。会议由第三届理事会副理事长、天津师范大学数学科学学院院长赵春教授主持。</w:t>
      </w:r>
    </w:p>
    <w:p>
      <w:pPr>
        <w:ind w:firstLine="440" w:firstLineChars="200"/>
        <w:rPr>
          <w:rFonts w:ascii="宋体" w:hAnsi="宋体" w:cs="宋体"/>
          <w:color w:val="000000"/>
          <w:kern w:val="0"/>
          <w:sz w:val="22"/>
        </w:rPr>
      </w:pPr>
    </w:p>
    <w:p>
      <w:pPr>
        <w:widowControl/>
        <w:spacing w:line="360" w:lineRule="auto"/>
        <w:rPr>
          <w:rFonts w:ascii="宋体" w:hAnsi="宋体" w:cs="宋体"/>
          <w:color w:val="000000"/>
          <w:kern w:val="0"/>
          <w:sz w:val="22"/>
        </w:rPr>
      </w:pPr>
      <w:r>
        <w:rPr>
          <w:rFonts w:hint="eastAsia" w:ascii="宋体" w:hAnsi="宋体" w:cs="宋体"/>
          <w:color w:val="000000"/>
          <w:kern w:val="0"/>
          <w:sz w:val="22"/>
        </w:rPr>
        <w:drawing>
          <wp:inline distT="0" distB="0" distL="0" distR="0">
            <wp:extent cx="5278120" cy="3519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3519805"/>
                    </a:xfrm>
                    <a:prstGeom prst="rect">
                      <a:avLst/>
                    </a:prstGeom>
                  </pic:spPr>
                </pic:pic>
              </a:graphicData>
            </a:graphic>
          </wp:inline>
        </w:drawing>
      </w:r>
    </w:p>
    <w:p>
      <w:pPr>
        <w:widowControl/>
        <w:spacing w:line="360" w:lineRule="auto"/>
        <w:ind w:firstLine="440" w:firstLineChars="200"/>
        <w:jc w:val="right"/>
        <w:rPr>
          <w:rFonts w:ascii="宋体" w:hAnsi="宋体" w:cs="宋体"/>
          <w:color w:val="000000"/>
          <w:kern w:val="0"/>
          <w:sz w:val="22"/>
        </w:rPr>
      </w:pPr>
      <w:bookmarkStart w:id="2" w:name="_Toc24720995"/>
    </w:p>
    <w:p>
      <w:pPr>
        <w:widowControl/>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天津市科协学会部杨泉同志宣读学会换届批复。学会第三届理事会理事长李学良教授、秘书长史永堂教授、副秘书长任晓艳老师分别做了工作报告、学会章程修改说明报告以及财务报告。会议讨论修改并表决通过了第三届理事会工作报告和第四届理事会章程草案。会议还通过了学会的会费收费标准以及内部管理制度。会议选举产生了新一届监事会：南开大学李学良教授、天津工业大学陈汝栋教授、天津科技大学张大克教授，李学良教授任监事长。</w:t>
      </w:r>
    </w:p>
    <w:p>
      <w:pPr>
        <w:widowControl/>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大会选举产生了学会第四届理事会。南开大学王兆军教授当选为第四届理事会理事长，6位副理事长分别为（按姓氏拼音序）：天津大学郭飞教授、天津职业技术师范大学何文章教授、天津商业大学罗蕴玲教授、天津工业大学裴永珍教授、天津理工大学宋眉眉教授、天津师范大学赵春教授，秘书长为南开大学史永堂教授。新一届理事会由61人组成，常务理事会由19人组成。经新一届理事会讨论决定，聘请李学良教授担任第四届理事会名誉理事长。同时，召开了学会党支部党员大会，经学会党支部党员大会选举，天津理工大学宋眉眉教授当选第四届支部委员会书记；天津城建大学袁彦东教授当选第四届支部委员会组织委员；天津财经大学冀有虎教授当选第四届支部委员会宣传委员。</w:t>
      </w:r>
    </w:p>
    <w:p>
      <w:pPr>
        <w:widowControl/>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天津市科协朱大为同志代表市科协以及所属的150多个科技团体热烈祝贺此次会议的顺利召开与新产生的理事会，衷心感谢各位理事、各位代表为学会发展所做出的努力，并希望工业与应用数学学会继续围绕着学会创新和服务能力提升这条主线，繁荣学术思想、激发创造活力、推动学科发展，同时也要积极承接政府转移职能。新当选的理事长王兆军教授诚挚感谢各位会员代表的支持与信任，感谢科协和社团局一直以来对学会工作的支持，感谢学会前三届理事会为学会的发展做出的重要贡献（特别感谢离任理事对学会的成立与发展做出的重要贡献），并决心将继续努力、真抓实干地开展学会工作，使学会继续蓬勃发展！</w:t>
      </w:r>
    </w:p>
    <w:p>
      <w:pPr>
        <w:widowControl/>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天津市工业与应用数学学会于2007年6月1日正式成立。成立以来举办了多次学术会议、学术报告会，曾邀请中国工业与应用数学学会荣誉理事长、全国大学生数学建模竞赛组委会主任李大潜院士，中国科学院林群院士、西安交通大学徐宗本院士等作报告；并组织了2009年的“高教社杯全国大学生数学建模竞赛颁奖仪式暨工作会议”。</w:t>
      </w:r>
    </w:p>
    <w:p>
      <w:pPr>
        <w:widowControl/>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学会的数学建模专业委员会也多次组织开展关于“数学建模教学和数学建模竞赛”经验交流的活动，邀请国家级教学名师、国防科技大学吴孟达教授、中国工业与应用数学学会副理事长、清华大学谢金星教授等多位数学建模专家作关于数学建模的报告，提高天津赛区教师的指导水平。在建模专业委员会的努力下，天津赛区在全国大学生数学建模竞赛中连创佳绩，荣获全国一等奖、二等奖多项，并多次获得优秀组织工作奖。</w:t>
      </w:r>
    </w:p>
    <w:p>
      <w:pPr>
        <w:widowControl/>
        <w:spacing w:line="360" w:lineRule="auto"/>
        <w:ind w:firstLine="440" w:firstLineChars="200"/>
        <w:jc w:val="right"/>
        <w:rPr>
          <w:rFonts w:ascii="宋体" w:hAnsi="宋体" w:cs="宋体"/>
          <w:color w:val="000000"/>
          <w:kern w:val="0"/>
          <w:sz w:val="22"/>
        </w:rPr>
      </w:pPr>
      <w:r>
        <w:rPr>
          <w:rFonts w:hint="eastAsia" w:ascii="宋体" w:hAnsi="宋体" w:cs="宋体"/>
          <w:color w:val="000000"/>
          <w:kern w:val="0"/>
          <w:sz w:val="22"/>
        </w:rPr>
        <w:t>来源：天津市工业与应用数学学会秘书处</w:t>
      </w:r>
    </w:p>
    <w:p>
      <w:pPr>
        <w:pStyle w:val="2"/>
        <w:jc w:val="center"/>
        <w:rPr>
          <w:color w:val="7030A0"/>
          <w:sz w:val="32"/>
          <w:szCs w:val="32"/>
        </w:rPr>
      </w:pPr>
      <w:bookmarkStart w:id="3" w:name="_Toc24827438"/>
      <w:r>
        <w:rPr>
          <w:rFonts w:ascii="宋体" w:hAnsi="宋体" w:cs="宋体"/>
          <w:b w:val="0"/>
          <w:bCs w:val="0"/>
          <w:color w:val="000000"/>
          <w:kern w:val="0"/>
          <w:sz w:val="22"/>
          <w:szCs w:val="24"/>
        </w:rPr>
        <w:br w:type="textWrapping"/>
      </w:r>
      <w:r>
        <w:rPr>
          <w:rFonts w:hint="eastAsia"/>
          <w:color w:val="7030A0"/>
          <w:sz w:val="32"/>
          <w:szCs w:val="32"/>
        </w:rPr>
        <w:t>学会推出“</w:t>
      </w:r>
      <w:r>
        <w:rPr>
          <w:color w:val="7030A0"/>
          <w:sz w:val="32"/>
          <w:szCs w:val="32"/>
        </w:rPr>
        <w:t>天津市工业与应用数学学会系列报告</w:t>
      </w:r>
      <w:bookmarkEnd w:id="3"/>
      <w:r>
        <w:rPr>
          <w:rFonts w:hint="eastAsia"/>
          <w:color w:val="7030A0"/>
          <w:sz w:val="32"/>
          <w:szCs w:val="32"/>
        </w:rPr>
        <w:t>”</w:t>
      </w:r>
    </w:p>
    <w:p>
      <w:pPr>
        <w:spacing w:line="360" w:lineRule="auto"/>
        <w:ind w:firstLine="420" w:firstLineChars="200"/>
        <w:rPr>
          <w:color w:val="00B0F0"/>
        </w:rPr>
      </w:pPr>
      <w:r>
        <w:rPr>
          <w:rFonts w:hint="eastAsia"/>
        </w:rPr>
        <w:t xml:space="preserve">【编者按】 </w:t>
      </w:r>
      <w:r>
        <w:rPr>
          <w:rFonts w:hint="eastAsia"/>
          <w:color w:val="00B0F0"/>
        </w:rPr>
        <w:t>为更好地服务天津市工业与应用数学领域的科技工作者，学会积极搭建工业与应用数学领域的交流平台，推出了“天津市工业与应用数学学会系列报告”栏目，将依托学会各常务理事单位，邀请工业与应用数学领域的知名专家学者前来讲学。截止</w:t>
      </w:r>
      <w:r>
        <w:rPr>
          <w:color w:val="00B0F0"/>
        </w:rPr>
        <w:t>2019年</w:t>
      </w:r>
      <w:r>
        <w:rPr>
          <w:rFonts w:hint="eastAsia"/>
          <w:color w:val="00B0F0"/>
        </w:rPr>
        <w:t>1</w:t>
      </w:r>
      <w:r>
        <w:rPr>
          <w:color w:val="00B0F0"/>
        </w:rPr>
        <w:t>1月</w:t>
      </w:r>
      <w:r>
        <w:rPr>
          <w:rFonts w:hint="eastAsia"/>
          <w:color w:val="00B0F0"/>
        </w:rPr>
        <w:t>，</w:t>
      </w:r>
      <w:r>
        <w:rPr>
          <w:color w:val="00B0F0"/>
        </w:rPr>
        <w:t>共举办</w:t>
      </w:r>
      <w:r>
        <w:rPr>
          <w:rFonts w:hint="eastAsia"/>
          <w:color w:val="00B0F0"/>
        </w:rPr>
        <w:t>4场学术报告，邀请专家分别为西安交通大学徐宗本院士，滴滴首席科学家、美国北卡罗来纳大学教堂山分校生物统计学终身教授朱宏图教授，北京大学田刚院士，北京师范大学陈木法院士。</w:t>
      </w:r>
    </w:p>
    <w:p>
      <w:pPr>
        <w:pStyle w:val="3"/>
        <w:jc w:val="center"/>
        <w:rPr>
          <w:color w:val="7030A0"/>
        </w:rPr>
      </w:pPr>
      <w:bookmarkStart w:id="4" w:name="_Toc24720997"/>
      <w:bookmarkStart w:id="5" w:name="_Toc24827439"/>
      <w:r>
        <w:rPr>
          <w:color w:val="7030A0"/>
        </w:rPr>
        <w:t>第</w:t>
      </w:r>
      <w:r>
        <w:rPr>
          <w:rFonts w:hint="eastAsia"/>
          <w:color w:val="7030A0"/>
        </w:rPr>
        <w:t>1</w:t>
      </w:r>
      <w:r>
        <w:rPr>
          <w:color w:val="7030A0"/>
        </w:rPr>
        <w:t>讲</w:t>
      </w:r>
      <w:bookmarkEnd w:id="4"/>
      <w:r>
        <w:rPr>
          <w:rFonts w:hint="eastAsia"/>
          <w:color w:val="7030A0"/>
        </w:rPr>
        <w:t>：AI与数学：融通共进—徐宗本</w:t>
      </w:r>
      <w:bookmarkEnd w:id="5"/>
      <w:r>
        <w:rPr>
          <w:rFonts w:hint="eastAsia"/>
          <w:color w:val="7030A0"/>
        </w:rPr>
        <w:t>院士</w:t>
      </w:r>
    </w:p>
    <w:p>
      <w:pPr>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9月21日，中国科学院院士、数学家、信号与信息处理专家、西安交通大学教授徐宗本做客百年南开大讲坛。南开大学党委副书记杨克欣为徐宗本院士颁发“百年南开大讲坛主讲人”证书牌。中国科学院院士、南开大学统计与数据科学学院院长马志明出席活动。</w:t>
      </w:r>
    </w:p>
    <w:p>
      <w:pPr>
        <w:widowControl/>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"/var/folders/jv/bv1lphcj3ln8qc_qxj16nvw80000gn/T/com.microsoft.Word/WebArchiveCopyPasteTempFiles/00300026213_e3208145.png"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"/var/folders/jv/bv1lphcj3ln8qc_qxj16nvw80000gn/T/com.microsoft.Word/WebArchiveCopyPasteTempFiles/00300026213_e3208145.png"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194300" cy="3726180"/>
            <wp:effectExtent l="0" t="0" r="6350" b="762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noCrop="1"/>
                    </pic:cNvPicPr>
                  </pic:nvPicPr>
                  <pic:blipFill>
                    <a:blip r:embed="rId12" r:link="rId13"/>
                    <a:stretch>
                      <a:fillRect/>
                    </a:stretch>
                  </pic:blipFill>
                  <pic:spPr>
                    <a:xfrm>
                      <a:off x="0" y="0"/>
                      <a:ext cx="5204398" cy="3733347"/>
                    </a:xfrm>
                    <a:prstGeom prst="rect">
                      <a:avLst/>
                    </a:prstGeom>
                    <a:noFill/>
                    <a:ln>
                      <a:noFill/>
                    </a:ln>
                  </pic:spPr>
                </pic:pic>
              </a:graphicData>
            </a:graphic>
          </wp:inline>
        </w:drawing>
      </w:r>
      <w:r>
        <w:rPr>
          <w:rFonts w:ascii="宋体" w:hAnsi="宋体" w:cs="宋体"/>
          <w:kern w:val="0"/>
          <w:sz w:val="24"/>
        </w:rPr>
        <w:fldChar w:fldCharType="end"/>
      </w:r>
      <w:r>
        <w:rPr>
          <w:rFonts w:ascii="宋体" w:hAnsi="宋体" w:cs="宋体"/>
          <w:kern w:val="0"/>
          <w:sz w:val="24"/>
        </w:rPr>
        <w:fldChar w:fldCharType="end"/>
      </w:r>
    </w:p>
    <w:p>
      <w:pPr>
        <w:widowControl/>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徐宗本院士主讲的题目是“AI与数学：融通共进”，围绕“人工智能与数学融通共进”的核心概念，从人工智能与数学的关系、人工智能对数学的挑战、人工智能对数学的应用这三个话题展开。他指出，人工智能正在改变人类的生产方式和生活方式，也必然会影响人们的思维方式和科学研究方法论。数学是人工智能发展的基石，同时人工智能的当前发展也面临一系列重大基础科学问题，对数学理论提出挑战，发展、运用新的数学理论、工具去解决人工智能问题会成为应用数学的重要方向之一。</w:t>
      </w:r>
    </w:p>
    <w:p>
      <w:pPr>
        <w:widowControl/>
        <w:spacing w:line="360" w:lineRule="auto"/>
        <w:ind w:firstLine="440" w:firstLineChars="200"/>
        <w:jc w:val="right"/>
        <w:rPr>
          <w:rFonts w:ascii="宋体" w:hAnsi="宋体" w:cs="宋体"/>
          <w:color w:val="000000"/>
          <w:kern w:val="0"/>
          <w:sz w:val="22"/>
        </w:rPr>
      </w:pPr>
      <w:r>
        <w:rPr>
          <w:rFonts w:hint="eastAsia" w:ascii="宋体" w:hAnsi="宋体" w:cs="宋体"/>
          <w:color w:val="000000"/>
          <w:kern w:val="0"/>
          <w:sz w:val="22"/>
        </w:rPr>
        <w:t>来源：南开大学统计与数据科学学院</w:t>
      </w:r>
    </w:p>
    <w:p>
      <w:pPr>
        <w:pStyle w:val="3"/>
        <w:jc w:val="center"/>
        <w:rPr>
          <w:color w:val="7030A0"/>
        </w:rPr>
      </w:pPr>
      <w:bookmarkStart w:id="6" w:name="_Toc24720998"/>
      <w:bookmarkStart w:id="7" w:name="_Toc24827440"/>
      <w:r>
        <w:rPr>
          <w:color w:val="7030A0"/>
        </w:rPr>
        <w:t>第</w:t>
      </w:r>
      <w:r>
        <w:rPr>
          <w:rFonts w:hint="eastAsia"/>
          <w:color w:val="7030A0"/>
        </w:rPr>
        <w:t>2</w:t>
      </w:r>
      <w:r>
        <w:rPr>
          <w:color w:val="7030A0"/>
        </w:rPr>
        <w:t>讲</w:t>
      </w:r>
      <w:bookmarkEnd w:id="6"/>
      <w:r>
        <w:rPr>
          <w:rFonts w:hint="eastAsia"/>
          <w:color w:val="7030A0"/>
        </w:rPr>
        <w:t>：两边市场的理论研究和挑战—朱宏图教授</w:t>
      </w:r>
      <w:bookmarkEnd w:id="7"/>
    </w:p>
    <w:p>
      <w:pPr>
        <w:spacing w:line="360" w:lineRule="auto"/>
        <w:ind w:firstLine="480" w:firstLineChars="200"/>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"/var/folders/jv/bv1lphcj3ln8qc_qxj16nvw80000gn/T/com.microsoft.Word/WebArchiveCopyPasteTempFiles/00300026214_0e08d2d2.png"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4430395" cy="3113405"/>
            <wp:effectExtent l="0" t="0" r="1905"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rop="1"/>
                    </pic:cNvPicPr>
                  </pic:nvPicPr>
                  <pic:blipFill>
                    <a:blip r:embed="rId14" r:link="rId15"/>
                    <a:stretch>
                      <a:fillRect/>
                    </a:stretch>
                  </pic:blipFill>
                  <pic:spPr>
                    <a:xfrm>
                      <a:off x="0" y="0"/>
                      <a:ext cx="4435284" cy="3113405"/>
                    </a:xfrm>
                    <a:prstGeom prst="rect">
                      <a:avLst/>
                    </a:prstGeom>
                    <a:noFill/>
                    <a:ln>
                      <a:noFill/>
                    </a:ln>
                  </pic:spPr>
                </pic:pic>
              </a:graphicData>
            </a:graphic>
          </wp:inline>
        </w:drawing>
      </w:r>
      <w:r>
        <w:rPr>
          <w:rFonts w:ascii="宋体" w:hAnsi="宋体" w:cs="宋体"/>
          <w:kern w:val="0"/>
          <w:sz w:val="24"/>
        </w:rPr>
        <w:fldChar w:fldCharType="end"/>
      </w:r>
    </w:p>
    <w:p>
      <w:pPr>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9月21日，滴滴首席科学家、美国北卡罗来纳大学教堂山分校生物统计学终身教授朱宏图做客百年南开大讲坛。南开大学党委副书记杨克欣为朱宏图教授颁发“百年南开大讲坛主讲人”证书牌。中国科学院院士、南开大学统计与数据科学学院院长马志明出席活动。</w:t>
      </w:r>
    </w:p>
    <w:p>
      <w:pPr>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朱宏图教授主讲的题目是“两边市场的理论研究和挑战”，他表示，双边市场问题的核心是为了构建时空系统中供给和需求之间的某种平衡关系，可以等价地被视为一个动态配准问题。统计与人工智能的原理和方法论在这其中可以得到很多应用。他还针对网约车平台系统策略进行了案例讲解，指出随着数据量的增大，科学的、系统的、有目的的数据分析将成为公司发展的核心竞争力之一。</w:t>
      </w:r>
    </w:p>
    <w:p>
      <w:pPr>
        <w:spacing w:line="360" w:lineRule="auto"/>
        <w:ind w:firstLine="440" w:firstLineChars="200"/>
        <w:jc w:val="right"/>
        <w:rPr>
          <w:rFonts w:ascii="宋体" w:hAnsi="宋体" w:cs="宋体"/>
          <w:color w:val="000000"/>
          <w:kern w:val="0"/>
          <w:sz w:val="22"/>
        </w:rPr>
      </w:pPr>
      <w:r>
        <w:rPr>
          <w:rFonts w:hint="eastAsia" w:ascii="宋体" w:hAnsi="宋体" w:cs="宋体"/>
          <w:color w:val="000000"/>
          <w:kern w:val="0"/>
          <w:sz w:val="22"/>
        </w:rPr>
        <w:t>来源：南开大学统计与数据科学学院</w:t>
      </w:r>
    </w:p>
    <w:p>
      <w:pPr>
        <w:widowControl/>
        <w:spacing w:line="360" w:lineRule="auto"/>
        <w:rPr>
          <w:rFonts w:ascii="宋体" w:hAnsi="宋体" w:cs="宋体"/>
          <w:color w:val="000000"/>
          <w:kern w:val="0"/>
          <w:sz w:val="22"/>
        </w:rPr>
      </w:pPr>
    </w:p>
    <w:p>
      <w:pPr>
        <w:pStyle w:val="3"/>
        <w:jc w:val="center"/>
        <w:rPr>
          <w:color w:val="7030A0"/>
        </w:rPr>
      </w:pPr>
      <w:bookmarkStart w:id="8" w:name="_Toc24720999"/>
      <w:bookmarkStart w:id="9" w:name="_Toc24827441"/>
      <w:r>
        <w:rPr>
          <w:color w:val="7030A0"/>
        </w:rPr>
        <w:t>第</w:t>
      </w:r>
      <w:r>
        <w:rPr>
          <w:rFonts w:hint="eastAsia"/>
          <w:color w:val="7030A0"/>
        </w:rPr>
        <w:t>3</w:t>
      </w:r>
      <w:r>
        <w:rPr>
          <w:color w:val="7030A0"/>
        </w:rPr>
        <w:t>讲</w:t>
      </w:r>
      <w:bookmarkEnd w:id="8"/>
      <w:r>
        <w:rPr>
          <w:rFonts w:hint="eastAsia"/>
          <w:color w:val="7030A0"/>
        </w:rPr>
        <w:t>：随机矩阵与SYK模型—田刚</w:t>
      </w:r>
      <w:bookmarkEnd w:id="9"/>
      <w:r>
        <w:rPr>
          <w:rFonts w:hint="eastAsia"/>
          <w:color w:val="7030A0"/>
        </w:rPr>
        <w:t>院士</w:t>
      </w:r>
    </w:p>
    <w:p>
      <w:pPr>
        <w:widowControl/>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10月12日，国际著名数学家，中国科学院院士，北京大学讲席教授、副校长，北京国际数学研究中心主任田刚做客“科学与南开”讲座，在南开大学省身楼作了题为“随机矩阵与SYK模型”的学术报告。南开大学校长曹雪涛会见了田刚，感谢他长期以来对南开数学、统计学科的支持，中国科学院院士龙以明、张伟平等专家学者出席活动，学会理事长王兆军教授主持。</w:t>
      </w:r>
    </w:p>
    <w:p>
      <w:pPr>
        <w:spacing w:line="360" w:lineRule="exact"/>
        <w:rPr>
          <w:rFonts w:ascii="黑体" w:hAnsi="宋体" w:eastAsia="黑体"/>
          <w:b/>
          <w:color w:val="000000"/>
          <w:sz w:val="28"/>
          <w:szCs w:val="28"/>
        </w:rPr>
      </w:pPr>
      <w:r>
        <w:drawing>
          <wp:anchor distT="0" distB="0" distL="114300" distR="114300" simplePos="0" relativeHeight="251753472" behindDoc="0" locked="0" layoutInCell="1" allowOverlap="1">
            <wp:simplePos x="0" y="0"/>
            <wp:positionH relativeFrom="page">
              <wp:posOffset>1790065</wp:posOffset>
            </wp:positionH>
            <wp:positionV relativeFrom="paragraph">
              <wp:posOffset>49530</wp:posOffset>
            </wp:positionV>
            <wp:extent cx="3989705" cy="2656205"/>
            <wp:effectExtent l="0" t="0" r="0" b="0"/>
            <wp:wrapSquare wrapText="bothSides"/>
            <wp:docPr id="5" name="图片 46" descr="67920d79-9962-4377-a38a-15bef0e7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descr="67920d79-9962-4377-a38a-15bef0e71315"/>
                    <pic:cNvPicPr>
                      <a:picLocks noChangeAspect="1" noCrop="1"/>
                    </pic:cNvPicPr>
                  </pic:nvPicPr>
                  <pic:blipFill>
                    <a:blip r:embed="rId16"/>
                    <a:stretch>
                      <a:fillRect/>
                    </a:stretch>
                  </pic:blipFill>
                  <pic:spPr>
                    <a:xfrm>
                      <a:off x="0" y="0"/>
                      <a:ext cx="3989834" cy="2656114"/>
                    </a:xfrm>
                    <a:prstGeom prst="rect">
                      <a:avLst/>
                    </a:prstGeom>
                    <a:noFill/>
                    <a:ln>
                      <a:noFill/>
                    </a:ln>
                  </pic:spPr>
                </pic:pic>
              </a:graphicData>
            </a:graphic>
          </wp:anchor>
        </w:drawing>
      </w:r>
    </w:p>
    <w:p>
      <w:pPr>
        <w:widowControl/>
        <w:spacing w:line="360" w:lineRule="auto"/>
        <w:ind w:firstLine="440" w:firstLineChars="200"/>
        <w:jc w:val="center"/>
        <w:rPr>
          <w:rFonts w:ascii="宋体" w:hAnsi="宋体" w:cs="宋体"/>
          <w:color w:val="000000"/>
          <w:kern w:val="0"/>
          <w:sz w:val="22"/>
        </w:rPr>
      </w:pPr>
    </w:p>
    <w:p>
      <w:pPr>
        <w:widowControl/>
        <w:spacing w:line="360" w:lineRule="auto"/>
        <w:ind w:firstLine="440" w:firstLineChars="200"/>
        <w:jc w:val="left"/>
        <w:rPr>
          <w:rFonts w:ascii="宋体" w:hAnsi="宋体" w:cs="宋体"/>
          <w:color w:val="000000"/>
          <w:kern w:val="0"/>
          <w:sz w:val="22"/>
        </w:rPr>
      </w:pPr>
    </w:p>
    <w:p>
      <w:pPr>
        <w:widowControl/>
        <w:spacing w:line="360" w:lineRule="auto"/>
        <w:ind w:firstLine="440" w:firstLineChars="200"/>
        <w:jc w:val="left"/>
        <w:rPr>
          <w:rFonts w:ascii="宋体" w:hAnsi="宋体" w:cs="宋体"/>
          <w:color w:val="000000"/>
          <w:kern w:val="0"/>
          <w:sz w:val="22"/>
        </w:rPr>
      </w:pPr>
    </w:p>
    <w:p>
      <w:pPr>
        <w:widowControl/>
        <w:spacing w:line="360" w:lineRule="auto"/>
        <w:ind w:firstLine="440" w:firstLineChars="200"/>
        <w:jc w:val="left"/>
        <w:rPr>
          <w:rFonts w:ascii="宋体" w:hAnsi="宋体" w:cs="宋体"/>
          <w:color w:val="000000"/>
          <w:kern w:val="0"/>
          <w:sz w:val="22"/>
        </w:rPr>
      </w:pPr>
    </w:p>
    <w:p>
      <w:pPr>
        <w:widowControl/>
        <w:spacing w:line="360" w:lineRule="auto"/>
        <w:ind w:firstLine="440" w:firstLineChars="200"/>
        <w:jc w:val="left"/>
        <w:rPr>
          <w:rFonts w:ascii="宋体" w:hAnsi="宋体" w:cs="宋体"/>
          <w:color w:val="000000"/>
          <w:kern w:val="0"/>
          <w:sz w:val="22"/>
        </w:rPr>
      </w:pPr>
    </w:p>
    <w:p>
      <w:pPr>
        <w:widowControl/>
        <w:spacing w:line="360" w:lineRule="auto"/>
        <w:ind w:firstLine="440" w:firstLineChars="200"/>
        <w:jc w:val="left"/>
        <w:rPr>
          <w:rFonts w:ascii="宋体" w:hAnsi="宋体" w:cs="宋体"/>
          <w:color w:val="000000"/>
          <w:kern w:val="0"/>
          <w:sz w:val="22"/>
        </w:rPr>
      </w:pPr>
    </w:p>
    <w:p>
      <w:pPr>
        <w:widowControl/>
        <w:spacing w:line="360" w:lineRule="auto"/>
        <w:ind w:firstLine="440" w:firstLineChars="200"/>
        <w:jc w:val="left"/>
        <w:rPr>
          <w:rFonts w:ascii="宋体" w:hAnsi="宋体" w:cs="宋体"/>
          <w:color w:val="000000"/>
          <w:kern w:val="0"/>
          <w:sz w:val="22"/>
        </w:rPr>
      </w:pPr>
    </w:p>
    <w:p>
      <w:pPr>
        <w:widowControl/>
        <w:spacing w:line="360" w:lineRule="auto"/>
        <w:ind w:firstLine="440" w:firstLineChars="200"/>
        <w:jc w:val="left"/>
        <w:rPr>
          <w:rFonts w:ascii="宋体" w:hAnsi="宋体" w:cs="宋体"/>
          <w:color w:val="000000"/>
          <w:kern w:val="0"/>
          <w:sz w:val="22"/>
        </w:rPr>
      </w:pPr>
    </w:p>
    <w:p>
      <w:pPr>
        <w:widowControl/>
        <w:spacing w:line="360" w:lineRule="auto"/>
        <w:ind w:firstLine="440" w:firstLineChars="200"/>
        <w:jc w:val="left"/>
        <w:rPr>
          <w:rFonts w:ascii="宋体" w:hAnsi="宋体" w:cs="宋体"/>
          <w:color w:val="000000"/>
          <w:kern w:val="0"/>
          <w:sz w:val="22"/>
        </w:rPr>
      </w:pPr>
    </w:p>
    <w:p>
      <w:pPr>
        <w:widowControl/>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报告中，田刚首先对SYK模型做了简要概述。SYK模型是物理学中非常活跃的一个重要方向，是一个有随机相互作用的量子多体系统。它集几种属性于一身：作为多体系统是混沌的，但同时具有一定的可解性，并存在一个和它对应的含黑洞引力系统。SYK模型的主要特点体现在它的能谱分布上。SYK模型应该导致一个新的数学模型，其中包括经典的随机矩阵模型作为特殊的模型案例。</w:t>
      </w:r>
    </w:p>
    <w:p>
      <w:pPr>
        <w:widowControl/>
        <w:spacing w:line="360" w:lineRule="auto"/>
        <w:ind w:firstLine="440" w:firstLineChars="200"/>
        <w:jc w:val="right"/>
        <w:rPr>
          <w:rFonts w:ascii="黑体" w:hAnsi="宋体" w:eastAsia="黑体"/>
          <w:b/>
          <w:color w:val="000000"/>
          <w:sz w:val="28"/>
          <w:szCs w:val="28"/>
        </w:rPr>
      </w:pPr>
      <w:r>
        <w:rPr>
          <w:rFonts w:hint="eastAsia" w:ascii="宋体" w:hAnsi="宋体" w:cs="宋体"/>
          <w:color w:val="000000"/>
          <w:kern w:val="0"/>
          <w:sz w:val="22"/>
        </w:rPr>
        <w:t>来源：南开大学统计与数据科学学院</w:t>
      </w:r>
    </w:p>
    <w:p>
      <w:pPr>
        <w:spacing w:line="360" w:lineRule="exact"/>
        <w:rPr>
          <w:rFonts w:ascii="黑体" w:hAnsi="宋体" w:eastAsia="黑体"/>
          <w:b/>
          <w:color w:val="000000"/>
          <w:sz w:val="28"/>
          <w:szCs w:val="28"/>
        </w:rPr>
      </w:pPr>
    </w:p>
    <w:p>
      <w:pPr>
        <w:pStyle w:val="3"/>
        <w:jc w:val="center"/>
        <w:rPr>
          <w:color w:val="7030A0"/>
        </w:rPr>
      </w:pPr>
      <w:bookmarkStart w:id="10" w:name="_Toc24721000"/>
      <w:bookmarkStart w:id="11" w:name="_Toc24827442"/>
      <w:r>
        <w:rPr>
          <w:color w:val="7030A0"/>
        </w:rPr>
        <w:br w:type="textWrapping"/>
      </w:r>
      <w:r>
        <w:rPr>
          <w:color w:val="7030A0"/>
        </w:rPr>
        <w:t>第</w:t>
      </w:r>
      <w:r>
        <w:rPr>
          <w:rFonts w:hint="eastAsia"/>
          <w:color w:val="7030A0"/>
        </w:rPr>
        <w:t>4</w:t>
      </w:r>
      <w:r>
        <w:rPr>
          <w:color w:val="7030A0"/>
        </w:rPr>
        <w:t>讲</w:t>
      </w:r>
      <w:bookmarkEnd w:id="10"/>
      <w:r>
        <w:rPr>
          <w:rFonts w:hint="eastAsia"/>
          <w:color w:val="7030A0"/>
        </w:rPr>
        <w:t>：交叉研究的感悟—陈木法</w:t>
      </w:r>
      <w:bookmarkEnd w:id="11"/>
      <w:r>
        <w:rPr>
          <w:rFonts w:hint="eastAsia"/>
          <w:color w:val="7030A0"/>
        </w:rPr>
        <w:t>院士</w:t>
      </w:r>
    </w:p>
    <w:p>
      <w:pPr>
        <w:widowControl/>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10月26日，中国科学院院士、第三世界科学院院士、美国数学学会会士陈木法教授做客百年南开大讲坛，在范孙楼作了题为“交叉研究的感悟”的学术报告。南开大</w:t>
      </w:r>
      <w:r>
        <w:drawing>
          <wp:anchor distT="0" distB="0" distL="114300" distR="114300" simplePos="0" relativeHeight="251764736" behindDoc="0" locked="0" layoutInCell="1" allowOverlap="1">
            <wp:simplePos x="0" y="0"/>
            <wp:positionH relativeFrom="column">
              <wp:posOffset>337185</wp:posOffset>
            </wp:positionH>
            <wp:positionV relativeFrom="paragraph">
              <wp:posOffset>168275</wp:posOffset>
            </wp:positionV>
            <wp:extent cx="4768850" cy="3173095"/>
            <wp:effectExtent l="0" t="0" r="0" b="8255"/>
            <wp:wrapSquare wrapText="bothSides"/>
            <wp:docPr id="6" name="图片 45" descr="9fa9648f-0ae3-4a99-bb7e-5bcae5db8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9fa9648f-0ae3-4a99-bb7e-5bcae5db8ab5"/>
                    <pic:cNvPicPr>
                      <a:picLocks noChangeAspect="1" noCrop="1"/>
                    </pic:cNvPicPr>
                  </pic:nvPicPr>
                  <pic:blipFill>
                    <a:blip r:embed="rId17"/>
                    <a:stretch>
                      <a:fillRect/>
                    </a:stretch>
                  </pic:blipFill>
                  <pic:spPr>
                    <a:xfrm>
                      <a:off x="0" y="0"/>
                      <a:ext cx="4768850" cy="3173095"/>
                    </a:xfrm>
                    <a:prstGeom prst="rect">
                      <a:avLst/>
                    </a:prstGeom>
                    <a:noFill/>
                    <a:ln>
                      <a:noFill/>
                    </a:ln>
                  </pic:spPr>
                </pic:pic>
              </a:graphicData>
            </a:graphic>
          </wp:anchor>
        </w:drawing>
      </w:r>
      <w:r>
        <w:rPr>
          <w:rFonts w:hint="eastAsia" w:ascii="宋体" w:hAnsi="宋体" w:cs="宋体"/>
          <w:color w:val="000000"/>
          <w:kern w:val="0"/>
          <w:sz w:val="22"/>
        </w:rPr>
        <w:t>学党委副书记杨克欣为陈木法颁发“百年南开大讲坛主讲人”纪念牌。中国科学院院士张伟平等专家学者出席报告会，学会理事长王兆军教授主持。</w:t>
      </w:r>
    </w:p>
    <w:p>
      <w:pPr>
        <w:widowControl/>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陈木法以个人在交叉研究方面的多年研究经历、特别是近年来围绕矩阵最大特征对计算的探索为主线，介绍了自己对于交叉研究的心得体会，重点分享了自己如何在厄密矩阵、计算最大特征对和改进算法等问题上进行学科的交叉融合，克服困难取得学术成果的过程，以丰富的数学案例、详尽的公式推导展示了研究过程中涉及到的概率论、统计物理、量子力学、基础数学和计算等学科的交叉渗透。</w:t>
      </w:r>
    </w:p>
    <w:p>
      <w:pPr>
        <w:widowControl/>
        <w:spacing w:line="360" w:lineRule="auto"/>
        <w:ind w:firstLine="440" w:firstLineChars="200"/>
        <w:jc w:val="right"/>
        <w:rPr>
          <w:rFonts w:ascii="宋体" w:hAnsi="宋体" w:cs="宋体"/>
          <w:color w:val="000000"/>
          <w:kern w:val="0"/>
          <w:sz w:val="22"/>
        </w:rPr>
      </w:pPr>
      <w:r>
        <w:rPr>
          <w:rFonts w:hint="eastAsia" w:ascii="宋体" w:hAnsi="宋体" w:cs="宋体"/>
          <w:color w:val="000000"/>
          <w:kern w:val="0"/>
          <w:sz w:val="22"/>
        </w:rPr>
        <w:t>来源：南开大学统计与数据科学学院</w:t>
      </w:r>
    </w:p>
    <w:p>
      <w:pPr>
        <w:widowControl/>
        <w:spacing w:line="360" w:lineRule="auto"/>
        <w:jc w:val="left"/>
        <w:rPr>
          <w:rFonts w:ascii="微软雅黑" w:hAnsi="微软雅黑" w:eastAsia="微软雅黑" w:cs="宋体"/>
          <w:b/>
          <w:bCs/>
          <w:color w:val="3300CC"/>
          <w:kern w:val="0"/>
          <w:sz w:val="11"/>
          <w:szCs w:val="11"/>
        </w:rPr>
      </w:pPr>
    </w:p>
    <w:p>
      <w:pPr>
        <w:pStyle w:val="2"/>
        <w:rPr>
          <w:color w:val="7030A0"/>
          <w:sz w:val="32"/>
          <w:szCs w:val="32"/>
        </w:rPr>
      </w:pPr>
    </w:p>
    <w:p/>
    <w:p>
      <w:pPr>
        <w:pStyle w:val="2"/>
        <w:jc w:val="center"/>
        <w:rPr>
          <w:color w:val="7030A0"/>
          <w:sz w:val="32"/>
          <w:szCs w:val="32"/>
        </w:rPr>
      </w:pPr>
      <w:bookmarkStart w:id="12" w:name="_Toc24827443"/>
      <w:r>
        <w:rPr>
          <w:color w:val="7030A0"/>
          <w:sz w:val="32"/>
          <w:szCs w:val="32"/>
        </w:rPr>
        <w:br w:type="textWrapping"/>
      </w:r>
      <w:r>
        <w:rPr>
          <w:rFonts w:hint="eastAsia"/>
          <w:color w:val="7030A0"/>
          <w:sz w:val="32"/>
          <w:szCs w:val="32"/>
        </w:rPr>
        <w:t>学会举办多场学术活动</w:t>
      </w:r>
    </w:p>
    <w:p>
      <w:pPr>
        <w:spacing w:line="360" w:lineRule="auto"/>
        <w:ind w:firstLine="420" w:firstLineChars="200"/>
        <w:rPr>
          <w:color w:val="00B0F0"/>
        </w:rPr>
      </w:pPr>
      <w:r>
        <w:rPr>
          <w:rFonts w:hint="eastAsia"/>
        </w:rPr>
        <w:t xml:space="preserve">【编者按】 </w:t>
      </w:r>
      <w:r>
        <w:rPr>
          <w:rFonts w:hint="eastAsia"/>
          <w:color w:val="00B0F0"/>
        </w:rPr>
        <w:t>为更好地服务天津市工业与应用数学领域的科技工作者，学会积极搭建工业与应用数学领域的交流平台，联合天津市数学会、天津市现场统计学会等市级学会举办多场学术活动。</w:t>
      </w:r>
    </w:p>
    <w:p>
      <w:pPr>
        <w:pStyle w:val="2"/>
        <w:jc w:val="center"/>
        <w:rPr>
          <w:color w:val="7030A0"/>
          <w:sz w:val="32"/>
          <w:szCs w:val="32"/>
        </w:rPr>
      </w:pPr>
      <w:r>
        <w:rPr>
          <w:rFonts w:hint="eastAsia"/>
          <w:color w:val="7030A0"/>
          <w:sz w:val="32"/>
          <w:szCs w:val="32"/>
        </w:rPr>
        <w:t>全国重点中学数学骨干教师南开论坛暨</w:t>
      </w:r>
      <w:r>
        <w:rPr>
          <w:color w:val="7030A0"/>
          <w:sz w:val="32"/>
          <w:szCs w:val="32"/>
        </w:rPr>
        <w:br w:type="textWrapping"/>
      </w:r>
      <w:r>
        <w:rPr>
          <w:rFonts w:hint="eastAsia"/>
          <w:color w:val="7030A0"/>
          <w:sz w:val="32"/>
          <w:szCs w:val="32"/>
        </w:rPr>
        <w:t>数学人才贯通式培养研讨会</w:t>
      </w:r>
      <w:bookmarkEnd w:id="12"/>
    </w:p>
    <w:p>
      <w:pPr>
        <w:spacing w:line="360" w:lineRule="auto"/>
        <w:ind w:firstLine="440" w:firstLineChars="200"/>
        <w:rPr>
          <w:color w:val="000000" w:themeColor="text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天津市工业与应用数学学会联合天津市数学会、天津市现场统计研究会、南开大学教务处共同协办，由南开大学招生办公室、南开大学数学科学学院、南开大学统计与数据科学学院、南开大学陈省身数学研究所、南开大学组合数学中心共同主办的“全国重点中学数学骨干教师南开论坛暨数学人才贯通式培养研讨会”于2019年11月2日在南开大学省身楼多功能厅举行。</w:t>
      </w:r>
    </w:p>
    <w:p>
      <w:pPr>
        <w:jc w:val="center"/>
        <w:rPr>
          <w:rFonts w:ascii="宋体" w:hAnsi="宋体" w:cs="宋体"/>
          <w:sz w:val="22"/>
          <w:szCs w:val="22"/>
        </w:rPr>
      </w:pPr>
      <w:r>
        <w:rPr>
          <w:rFonts w:hint="eastAsia" w:ascii="宋体" w:hAnsi="宋体" w:cs="宋体"/>
          <w:sz w:val="22"/>
          <w:szCs w:val="22"/>
        </w:rPr>
        <w:drawing>
          <wp:inline distT="0" distB="0" distL="114300" distR="114300">
            <wp:extent cx="4441190" cy="2181225"/>
            <wp:effectExtent l="0" t="0" r="0" b="9525"/>
            <wp:docPr id="1" name="图片 1" descr="微信图片_2019111515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115150416"/>
                    <pic:cNvPicPr>
                      <a:picLocks noChangeAspect="1"/>
                    </pic:cNvPicPr>
                  </pic:nvPicPr>
                  <pic:blipFill>
                    <a:blip r:embed="rId18"/>
                    <a:stretch>
                      <a:fillRect/>
                    </a:stretch>
                  </pic:blipFill>
                  <pic:spPr>
                    <a:xfrm>
                      <a:off x="0" y="0"/>
                      <a:ext cx="4453085" cy="2187228"/>
                    </a:xfrm>
                    <a:prstGeom prst="rect">
                      <a:avLst/>
                    </a:prstGeom>
                  </pic:spPr>
                </pic:pic>
              </a:graphicData>
            </a:graphic>
          </wp:inline>
        </w:drawing>
      </w:r>
    </w:p>
    <w:p>
      <w:pPr>
        <w:rPr>
          <w:rFonts w:ascii="宋体" w:hAnsi="宋体" w:cs="宋体"/>
          <w:sz w:val="22"/>
          <w:szCs w:val="22"/>
        </w:rPr>
      </w:pPr>
      <w:r>
        <w:rPr>
          <w:rFonts w:hint="eastAsia" w:ascii="宋体" w:hAnsi="宋体" w:cs="宋体"/>
          <w:sz w:val="22"/>
          <w:szCs w:val="22"/>
        </w:rPr>
        <w:t xml:space="preserve">      </w:t>
      </w:r>
    </w:p>
    <w:p>
      <w:pPr>
        <w:spacing w:line="360" w:lineRule="auto"/>
        <w:ind w:firstLine="440" w:firstLineChars="200"/>
        <w:rPr>
          <w:rFonts w:ascii="宋体" w:hAnsi="宋体" w:cs="宋体"/>
          <w:sz w:val="22"/>
          <w:szCs w:val="22"/>
        </w:rPr>
      </w:pPr>
      <w:r>
        <w:rPr>
          <w:rFonts w:hint="eastAsia" w:ascii="宋体" w:hAnsi="宋体" w:cs="宋体"/>
          <w:sz w:val="22"/>
          <w:szCs w:val="22"/>
        </w:rPr>
        <w:t>南开大学党委副书记杨克欣，中国数学会副理事长、中国数学会普及工作委员会及数学奥林匹克委员会主任、中国科学院数学与系统科学研究院研究员陈敏，天津市数学会理事长、南开大学陈省身数学研究所特聘教授、教育部长江学者特聘教授尤建功，天津市现场统计研究会理事长、南开大学统计与数据科学学院副院长刘民千，广州市第二中学副校长温晖出席开幕式并致辞。近150名来自全国25个省市82所中学的负责人、教师代表共同参加。开幕式由学会理事长王兆军教授主持。</w:t>
      </w:r>
    </w:p>
    <w:p>
      <w:pPr>
        <w:spacing w:line="360" w:lineRule="auto"/>
        <w:ind w:firstLine="440" w:firstLineChars="200"/>
        <w:rPr>
          <w:rFonts w:ascii="宋体" w:hAnsi="宋体" w:cs="宋体"/>
          <w:sz w:val="22"/>
          <w:szCs w:val="22"/>
        </w:rPr>
      </w:pPr>
      <w:r>
        <w:rPr>
          <w:rFonts w:hint="eastAsia" w:ascii="宋体" w:hAnsi="宋体" w:cs="宋体"/>
          <w:sz w:val="22"/>
          <w:szCs w:val="22"/>
        </w:rPr>
        <w:t>杨克欣代表学校向与会嘉宾及教师表示热烈欢迎，并以“在南开学习是一件幸福的事”为题向大家介绍了南开大学的发展历史、现状、人才培养等情况。她说，今年1月17日，习近平总书记视察南开大学，令南开师生深受鼓舞、倍感振奋。南开大学拥有百年历史文化积淀，其秉承爱国主义精神为国家培养了大批优秀人才。希望通过此次会议，加强南开大学与全国各中学的沟通交流，共同探索与新时代教育发展相适应的数学人才选拔和培养模式，为打造贯通式教育凝聚共识，为培养数学创新型人才奠定基础。</w:t>
      </w:r>
    </w:p>
    <w:p>
      <w:pPr>
        <w:spacing w:line="360" w:lineRule="auto"/>
        <w:rPr>
          <w:rFonts w:ascii="宋体" w:hAnsi="宋体" w:cs="宋体"/>
          <w:sz w:val="22"/>
          <w:szCs w:val="22"/>
        </w:rPr>
      </w:pPr>
      <w:r>
        <w:rPr>
          <w:rFonts w:hint="eastAsia" w:ascii="宋体" w:hAnsi="宋体" w:cs="宋体"/>
          <w:sz w:val="22"/>
          <w:szCs w:val="22"/>
        </w:rPr>
        <w:t>   陈敏代表中国数学会、中国数学会普及工作委员会及数学奥林匹克委员会向会议的举办表示祝贺并谈到，高中是学生成长的关键时期，高精尖数学人才培养离不开基础教育，如何培养高精尖数学人才是当下中学和大学教师需要思考的问题。期待大家就数学基础教育等话题进行有益研讨，助推中学数学教育、高等数学教育的衔接。</w:t>
      </w:r>
    </w:p>
    <w:p>
      <w:pPr>
        <w:spacing w:line="360" w:lineRule="auto"/>
        <w:rPr>
          <w:rFonts w:ascii="宋体" w:hAnsi="宋体" w:cs="宋体"/>
          <w:sz w:val="22"/>
          <w:szCs w:val="22"/>
        </w:rPr>
      </w:pPr>
      <w:r>
        <w:rPr>
          <w:rFonts w:hint="eastAsia" w:ascii="宋体" w:hAnsi="宋体" w:cs="宋体"/>
          <w:sz w:val="22"/>
          <w:szCs w:val="22"/>
        </w:rPr>
        <w:drawing>
          <wp:anchor distT="0" distB="0" distL="114300" distR="114300" simplePos="0" relativeHeight="251819008" behindDoc="1" locked="0" layoutInCell="1" allowOverlap="1">
            <wp:simplePos x="0" y="0"/>
            <wp:positionH relativeFrom="margin">
              <wp:align>right</wp:align>
            </wp:positionH>
            <wp:positionV relativeFrom="paragraph">
              <wp:posOffset>-3175</wp:posOffset>
            </wp:positionV>
            <wp:extent cx="5361940" cy="2748280"/>
            <wp:effectExtent l="0" t="0" r="0" b="0"/>
            <wp:wrapNone/>
            <wp:docPr id="2" name="图片 2" descr="a39f03f6-24d7-4541-a3d8-87bcca74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39f03f6-24d7-4541-a3d8-87bcca741564"/>
                    <pic:cNvPicPr>
                      <a:picLocks noChangeAspect="1"/>
                    </pic:cNvPicPr>
                  </pic:nvPicPr>
                  <pic:blipFill>
                    <a:blip r:embed="rId19"/>
                    <a:stretch>
                      <a:fillRect/>
                    </a:stretch>
                  </pic:blipFill>
                  <pic:spPr>
                    <a:xfrm>
                      <a:off x="0" y="0"/>
                      <a:ext cx="5361940" cy="2748280"/>
                    </a:xfrm>
                    <a:prstGeom prst="rect">
                      <a:avLst/>
                    </a:prstGeom>
                  </pic:spPr>
                </pic:pic>
              </a:graphicData>
            </a:graphic>
          </wp:anchor>
        </w:drawing>
      </w:r>
      <w:r>
        <w:rPr>
          <w:rFonts w:hint="eastAsia" w:ascii="宋体" w:hAnsi="宋体" w:cs="宋体"/>
          <w:sz w:val="22"/>
          <w:szCs w:val="22"/>
        </w:rPr>
        <w:t xml:space="preserve">   </w:t>
      </w:r>
    </w:p>
    <w:p>
      <w:pPr>
        <w:rPr>
          <w:rFonts w:ascii="宋体" w:hAnsi="宋体" w:cs="宋体"/>
          <w:sz w:val="22"/>
          <w:szCs w:val="22"/>
        </w:rPr>
      </w:pPr>
    </w:p>
    <w:p>
      <w:pPr>
        <w:rPr>
          <w:rFonts w:ascii="宋体" w:hAnsi="宋体" w:cs="宋体"/>
          <w:sz w:val="22"/>
          <w:szCs w:val="22"/>
        </w:rPr>
      </w:pPr>
      <w:r>
        <w:rPr>
          <w:rFonts w:hint="eastAsia" w:ascii="宋体" w:hAnsi="宋体" w:cs="宋体"/>
          <w:sz w:val="22"/>
          <w:szCs w:val="22"/>
        </w:rPr>
        <w:t>     </w:t>
      </w:r>
    </w:p>
    <w:p>
      <w:pPr>
        <w:rPr>
          <w:rFonts w:ascii="宋体" w:hAnsi="宋体" w:cs="宋体"/>
          <w:sz w:val="22"/>
          <w:szCs w:val="22"/>
        </w:rPr>
      </w:pPr>
    </w:p>
    <w:p>
      <w:pPr>
        <w:rPr>
          <w:rFonts w:ascii="宋体" w:hAnsi="宋体" w:cs="宋体"/>
          <w:sz w:val="22"/>
          <w:szCs w:val="22"/>
        </w:rPr>
      </w:pPr>
    </w:p>
    <w:p>
      <w:pPr>
        <w:rPr>
          <w:rFonts w:ascii="宋体" w:hAnsi="宋体" w:cs="宋体"/>
          <w:sz w:val="22"/>
          <w:szCs w:val="22"/>
        </w:rPr>
      </w:pPr>
    </w:p>
    <w:p>
      <w:pPr>
        <w:rPr>
          <w:rFonts w:ascii="宋体" w:hAnsi="宋体" w:cs="宋体"/>
          <w:sz w:val="22"/>
          <w:szCs w:val="22"/>
        </w:rPr>
      </w:pPr>
    </w:p>
    <w:p>
      <w:pPr>
        <w:rPr>
          <w:rFonts w:ascii="宋体" w:hAnsi="宋体" w:cs="宋体"/>
          <w:sz w:val="22"/>
          <w:szCs w:val="22"/>
        </w:rPr>
      </w:pPr>
    </w:p>
    <w:p>
      <w:pPr>
        <w:rPr>
          <w:rFonts w:ascii="宋体" w:hAnsi="宋体" w:cs="宋体"/>
          <w:sz w:val="22"/>
          <w:szCs w:val="22"/>
        </w:rPr>
      </w:pPr>
    </w:p>
    <w:p>
      <w:pPr>
        <w:rPr>
          <w:rFonts w:ascii="宋体" w:hAnsi="宋体" w:cs="宋体"/>
          <w:sz w:val="22"/>
          <w:szCs w:val="22"/>
        </w:rPr>
      </w:pPr>
    </w:p>
    <w:p>
      <w:pPr>
        <w:rPr>
          <w:rFonts w:ascii="宋体" w:hAnsi="宋体" w:cs="宋体"/>
          <w:sz w:val="22"/>
          <w:szCs w:val="22"/>
        </w:rPr>
      </w:pPr>
    </w:p>
    <w:p>
      <w:pPr>
        <w:rPr>
          <w:rFonts w:ascii="宋体" w:hAnsi="宋体" w:cs="宋体"/>
          <w:sz w:val="22"/>
          <w:szCs w:val="22"/>
        </w:rPr>
      </w:pPr>
    </w:p>
    <w:p>
      <w:pPr>
        <w:rPr>
          <w:rFonts w:ascii="宋体" w:hAnsi="宋体" w:cs="宋体"/>
          <w:sz w:val="22"/>
          <w:szCs w:val="22"/>
        </w:rPr>
      </w:pPr>
    </w:p>
    <w:p>
      <w:pPr>
        <w:rPr>
          <w:rFonts w:ascii="宋体" w:hAnsi="宋体" w:cs="宋体"/>
          <w:sz w:val="22"/>
          <w:szCs w:val="22"/>
        </w:rPr>
      </w:pPr>
      <w:r>
        <w:rPr>
          <w:rFonts w:hint="eastAsia" w:ascii="宋体" w:hAnsi="宋体" w:cs="宋体"/>
          <w:sz w:val="22"/>
          <w:szCs w:val="22"/>
        </w:rPr>
        <w:t xml:space="preserve"> </w:t>
      </w:r>
    </w:p>
    <w:p>
      <w:pPr>
        <w:spacing w:line="360" w:lineRule="auto"/>
        <w:ind w:firstLine="440" w:firstLineChars="200"/>
        <w:rPr>
          <w:rFonts w:ascii="宋体" w:hAnsi="宋体" w:cs="宋体"/>
          <w:sz w:val="22"/>
          <w:szCs w:val="22"/>
        </w:rPr>
      </w:pPr>
      <w:r>
        <w:rPr>
          <w:rFonts w:hint="eastAsia" w:ascii="宋体" w:hAnsi="宋体" w:cs="宋体"/>
          <w:sz w:val="22"/>
          <w:szCs w:val="22"/>
        </w:rPr>
        <w:t>会议期间，与会的中学和大学教师就数学人才贯通式培养分享教育教学经验、开展深入交流研讨。他们还一同参观了“允公允能 日新月异——纪念南开大学建校100周年展览”、陈省身故居，参加了“高中数学教学工作坊”等活动。</w:t>
      </w:r>
    </w:p>
    <w:p>
      <w:pPr>
        <w:spacing w:line="360" w:lineRule="auto"/>
        <w:rPr>
          <w:rFonts w:eastAsiaTheme="minorEastAsia"/>
        </w:rPr>
      </w:pPr>
      <w:r>
        <w:rPr>
          <w:rFonts w:hint="eastAsia" w:ascii="宋体" w:hAnsi="宋体" w:cs="宋体"/>
          <w:sz w:val="22"/>
          <w:szCs w:val="22"/>
        </w:rPr>
        <w:t>   据悉，此次会议旨在促进高中数学基础教育与大学数学、统计学等专业人才培养的贯通衔接，服务于国家基础学科发展战略以及大数据和人工智能战略；同时，通过展示南开大学数学学科群的发展概况、学术基础与育人特色，为探讨高中数学教育教学相关难题、提高教学质量水平提供解题思路、搭建交流平台。</w:t>
      </w:r>
    </w:p>
    <w:p>
      <w:pPr>
        <w:widowControl/>
        <w:spacing w:line="360" w:lineRule="auto"/>
        <w:jc w:val="right"/>
        <w:rPr>
          <w:rFonts w:ascii="宋体" w:hAnsi="宋体" w:cs="宋体"/>
          <w:color w:val="000000"/>
          <w:kern w:val="0"/>
          <w:sz w:val="22"/>
        </w:rPr>
      </w:pPr>
      <w:r>
        <w:rPr>
          <w:rFonts w:hint="eastAsia" w:ascii="宋体" w:hAnsi="宋体" w:cs="宋体"/>
          <w:color w:val="000000"/>
          <w:kern w:val="0"/>
          <w:sz w:val="22"/>
        </w:rPr>
        <w:t>来源：南开大学统计与数据科学学院</w:t>
      </w:r>
    </w:p>
    <w:p>
      <w:pPr>
        <w:widowControl/>
        <w:spacing w:line="360" w:lineRule="auto"/>
        <w:jc w:val="right"/>
        <w:rPr>
          <w:rFonts w:ascii="宋体" w:hAnsi="宋体" w:cs="宋体"/>
          <w:color w:val="000000"/>
          <w:kern w:val="0"/>
          <w:sz w:val="22"/>
        </w:rPr>
      </w:pPr>
    </w:p>
    <w:p>
      <w:pPr>
        <w:pStyle w:val="2"/>
        <w:jc w:val="center"/>
        <w:rPr>
          <w:color w:val="7030A0"/>
          <w:sz w:val="32"/>
          <w:szCs w:val="32"/>
        </w:rPr>
      </w:pPr>
      <w:bookmarkStart w:id="13" w:name="_Toc24721001"/>
      <w:bookmarkStart w:id="14" w:name="_Toc24827445"/>
      <w:r>
        <w:rPr>
          <w:color w:val="7030A0"/>
          <w:sz w:val="32"/>
          <w:szCs w:val="32"/>
        </w:rPr>
        <w:br w:type="textWrapping"/>
      </w:r>
      <w:r>
        <w:rPr>
          <w:color w:val="7030A0"/>
          <w:sz w:val="32"/>
          <w:szCs w:val="32"/>
        </w:rPr>
        <w:t>第六届图论与组合优化研讨会</w:t>
      </w:r>
      <w:r>
        <w:rPr>
          <w:rFonts w:hint="eastAsia"/>
          <w:color w:val="7030A0"/>
          <w:sz w:val="32"/>
          <w:szCs w:val="32"/>
        </w:rPr>
        <w:t>在南开大学举办</w:t>
      </w:r>
      <w:bookmarkEnd w:id="13"/>
      <w:bookmarkEnd w:id="14"/>
    </w:p>
    <w:p>
      <w:pPr>
        <w:widowControl/>
        <w:spacing w:line="360" w:lineRule="auto"/>
        <w:ind w:firstLine="440" w:firstLineChars="200"/>
        <w:rPr>
          <w:rFonts w:ascii="宋体" w:hAnsi="宋体"/>
          <w:color w:val="000000"/>
          <w:kern w:val="0"/>
          <w:sz w:val="22"/>
          <w:szCs w:val="22"/>
        </w:rPr>
      </w:pPr>
      <w:r>
        <w:rPr>
          <w:rFonts w:hint="eastAsia" w:ascii="宋体" w:hAnsi="宋体"/>
          <w:color w:val="000000"/>
          <w:kern w:val="0"/>
          <w:sz w:val="22"/>
          <w:szCs w:val="22"/>
        </w:rPr>
        <w:t>由学会与中国工业与应用数学学会图论组合及应用专业委员会、中国运筹学会图论组合分会主办，南开大学计算机学院、网络空间安全学院承办的“第六届图论与组合优化研讨会”于10月26日至27日在南开大学召开。学会理事黄申为副教授主持。</w:t>
      </w:r>
    </w:p>
    <w:p/>
    <w:p>
      <w:pPr>
        <w:widowControl/>
        <w:spacing w:line="360" w:lineRule="auto"/>
        <w:jc w:val="center"/>
        <w:rPr>
          <w:rFonts w:ascii="宋体" w:hAnsi="宋体" w:cs="宋体"/>
          <w:color w:val="000000"/>
          <w:kern w:val="0"/>
          <w:sz w:val="22"/>
        </w:rPr>
      </w:pPr>
      <w:r>
        <w:rPr>
          <w:rFonts w:ascii="宋体" w:hAnsi="宋体" w:cs="宋体"/>
          <w:color w:val="000000"/>
          <w:kern w:val="0"/>
          <w:sz w:val="22"/>
        </w:rPr>
        <w:drawing>
          <wp:inline distT="0" distB="0" distL="0" distR="0">
            <wp:extent cx="4953000" cy="33013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4634" cy="3302890"/>
                    </a:xfrm>
                    <a:prstGeom prst="rect">
                      <a:avLst/>
                    </a:prstGeom>
                  </pic:spPr>
                </pic:pic>
              </a:graphicData>
            </a:graphic>
          </wp:inline>
        </w:drawing>
      </w:r>
    </w:p>
    <w:p>
      <w:pPr>
        <w:widowControl/>
        <w:spacing w:line="360" w:lineRule="auto"/>
        <w:ind w:firstLine="440" w:firstLineChars="200"/>
        <w:rPr>
          <w:rFonts w:ascii="宋体" w:hAnsi="宋体" w:cs="宋体"/>
          <w:color w:val="000000"/>
          <w:kern w:val="0"/>
          <w:sz w:val="22"/>
        </w:rPr>
      </w:pPr>
    </w:p>
    <w:p>
      <w:pPr>
        <w:spacing w:line="360" w:lineRule="auto"/>
        <w:ind w:firstLine="440" w:firstLineChars="200"/>
        <w:rPr>
          <w:rFonts w:ascii="宋体" w:hAnsi="宋体" w:cs="宋体"/>
          <w:color w:val="000000"/>
          <w:kern w:val="0"/>
          <w:sz w:val="22"/>
        </w:rPr>
      </w:pPr>
      <w:r>
        <w:rPr>
          <w:rFonts w:hint="eastAsia" w:ascii="宋体" w:hAnsi="宋体"/>
          <w:color w:val="000000"/>
          <w:kern w:val="0"/>
          <w:sz w:val="22"/>
          <w:szCs w:val="22"/>
        </w:rPr>
        <w:t>计算机学院、网络空间安全学院、组合数学中心负责人出席开幕式并致辞。</w:t>
      </w:r>
      <w:r>
        <w:rPr>
          <w:rFonts w:hint="eastAsia" w:ascii="宋体" w:hAnsi="宋体" w:cs="宋体"/>
          <w:color w:val="000000"/>
          <w:kern w:val="0"/>
          <w:sz w:val="22"/>
        </w:rPr>
        <w:t>美国工业与应用数学学会会士Pavol Hell教授应邀作大会报告。来自上海交通大学、厦门大学、东南大学、山东大学、北京交通大学、北京工业大学、华东师范大学、华中师范大学、上海大学、安徽大学、浙江师范大学等高校和科研院所的40余名学者，就各自研究领域的最新进展作了专题报告。</w:t>
      </w:r>
    </w:p>
    <w:p>
      <w:pPr>
        <w:spacing w:line="360" w:lineRule="auto"/>
        <w:ind w:firstLine="440" w:firstLineChars="200"/>
        <w:rPr>
          <w:rFonts w:ascii="宋体" w:hAnsi="宋体" w:cs="宋体"/>
          <w:color w:val="000000"/>
          <w:kern w:val="0"/>
          <w:sz w:val="22"/>
        </w:rPr>
      </w:pPr>
    </w:p>
    <w:p>
      <w:pPr>
        <w:widowControl/>
        <w:spacing w:line="360" w:lineRule="auto"/>
        <w:ind w:firstLine="440" w:firstLineChars="200"/>
        <w:jc w:val="right"/>
        <w:rPr>
          <w:rFonts w:ascii="宋体" w:hAnsi="宋体" w:cs="宋体"/>
          <w:color w:val="000000"/>
          <w:kern w:val="0"/>
          <w:sz w:val="22"/>
        </w:rPr>
      </w:pPr>
      <w:r>
        <w:rPr>
          <w:rFonts w:hint="eastAsia" w:ascii="宋体" w:hAnsi="宋体" w:cs="宋体"/>
          <w:color w:val="000000"/>
          <w:kern w:val="0"/>
          <w:sz w:val="22"/>
        </w:rPr>
        <w:t>来源：南开大学计算机学院、</w:t>
      </w:r>
      <w:r>
        <w:rPr>
          <w:rFonts w:hint="eastAsia" w:ascii="宋体" w:hAnsi="宋体"/>
          <w:color w:val="000000"/>
          <w:kern w:val="0"/>
          <w:sz w:val="22"/>
          <w:szCs w:val="22"/>
        </w:rPr>
        <w:t>网络空间安全学院</w:t>
      </w:r>
    </w:p>
    <w:p>
      <w:pPr>
        <w:widowControl/>
        <w:spacing w:line="360" w:lineRule="auto"/>
        <w:jc w:val="right"/>
        <w:rPr>
          <w:rFonts w:ascii="宋体" w:hAnsi="宋体" w:cs="宋体"/>
          <w:color w:val="000000"/>
          <w:kern w:val="0"/>
          <w:sz w:val="22"/>
        </w:rPr>
      </w:pPr>
    </w:p>
    <w:p>
      <w:pPr>
        <w:widowControl/>
        <w:spacing w:line="360" w:lineRule="auto"/>
        <w:jc w:val="right"/>
        <w:rPr>
          <w:rFonts w:ascii="宋体" w:hAnsi="宋体" w:cs="宋体"/>
          <w:color w:val="000000"/>
          <w:kern w:val="0"/>
          <w:sz w:val="22"/>
        </w:rPr>
      </w:pPr>
    </w:p>
    <w:p>
      <w:pPr>
        <w:widowControl/>
        <w:spacing w:line="360" w:lineRule="auto"/>
        <w:jc w:val="right"/>
        <w:rPr>
          <w:rFonts w:ascii="宋体" w:hAnsi="宋体" w:cs="宋体"/>
          <w:color w:val="000000"/>
          <w:kern w:val="0"/>
          <w:sz w:val="22"/>
        </w:rPr>
      </w:pPr>
    </w:p>
    <w:p>
      <w:pPr>
        <w:widowControl/>
        <w:spacing w:line="360" w:lineRule="auto"/>
        <w:jc w:val="right"/>
        <w:rPr>
          <w:rFonts w:ascii="宋体" w:hAnsi="宋体" w:cs="宋体"/>
          <w:color w:val="000000"/>
          <w:kern w:val="0"/>
          <w:sz w:val="22"/>
        </w:rPr>
      </w:pPr>
    </w:p>
    <w:p>
      <w:pPr>
        <w:widowControl/>
        <w:spacing w:line="360" w:lineRule="auto"/>
        <w:jc w:val="right"/>
        <w:rPr>
          <w:rFonts w:ascii="宋体" w:hAnsi="宋体" w:cs="宋体"/>
          <w:color w:val="000000"/>
          <w:kern w:val="0"/>
          <w:sz w:val="22"/>
        </w:rPr>
      </w:pPr>
    </w:p>
    <w:p>
      <w:pPr>
        <w:pStyle w:val="3"/>
        <w:keepNext w:val="0"/>
        <w:keepLines w:val="0"/>
        <w:widowControl/>
        <w:spacing w:after="210" w:line="21" w:lineRule="atLeast"/>
        <w:jc w:val="center"/>
        <w:rPr>
          <w:rFonts w:ascii="Times New Roman" w:hAnsi="Times New Roman"/>
          <w:color w:val="7030A0"/>
          <w:kern w:val="44"/>
        </w:rPr>
      </w:pPr>
      <w:r>
        <w:rPr>
          <w:rFonts w:ascii="宋体" w:hAnsi="宋体" w:cs="宋体"/>
          <w:color w:val="000000"/>
          <w:kern w:val="0"/>
          <w:sz w:val="22"/>
        </w:rPr>
        <w:tab/>
      </w:r>
      <w:bookmarkStart w:id="15" w:name="_Toc24827446"/>
      <w:r>
        <w:rPr>
          <w:rFonts w:ascii="Times New Roman" w:hAnsi="Times New Roman"/>
          <w:color w:val="7030A0"/>
          <w:kern w:val="44"/>
        </w:rPr>
        <w:t>第一届 “锐思杯” 金融数据与统计建模大赛</w:t>
      </w:r>
      <w:bookmarkEnd w:id="15"/>
      <w:r>
        <w:rPr>
          <w:rFonts w:hint="eastAsia" w:ascii="Times New Roman" w:hAnsi="Times New Roman"/>
          <w:color w:val="7030A0"/>
          <w:kern w:val="44"/>
        </w:rPr>
        <w:t xml:space="preserve"> 活动通知</w:t>
      </w:r>
    </w:p>
    <w:p>
      <w:pPr>
        <w:spacing w:line="360" w:lineRule="auto"/>
        <w:ind w:firstLine="420" w:firstLineChars="200"/>
        <w:rPr>
          <w:szCs w:val="21"/>
        </w:rPr>
      </w:pPr>
      <w:r>
        <w:rPr>
          <w:rFonts w:hint="eastAsia" w:ascii="宋体" w:hAnsi="宋体"/>
        </w:rPr>
        <w:t>学会与天津市现场统计研究会、南开大学统计与数据科学学院、北京聚源锐思数据科技有限公司联合举办的第一届天津市“锐思杯”金融计算与建模大赛将于今年</w:t>
      </w:r>
      <w:r>
        <w:rPr>
          <w:rFonts w:hint="eastAsia"/>
        </w:rPr>
        <w:t>11-12</w:t>
      </w:r>
      <w:r>
        <w:rPr>
          <w:rFonts w:hint="eastAsia" w:ascii="宋体" w:hAnsi="宋体"/>
        </w:rPr>
        <w:t>月在南开大学进行。本次大赛主要面向天津市各高校的统计、数学、金融等相关专业（但不限制专业）具有一定金融、数学和计算机编程基础的在校研究生和本科生。北京聚源锐思数据科技有限公司负责发起报名、拟定赛题、组织优秀答卷的审阅和评奖、印制获奖证书、举办颁奖仪式等等。</w:t>
      </w:r>
    </w:p>
    <w:p>
      <w:pPr>
        <w:spacing w:line="360" w:lineRule="auto"/>
        <w:ind w:firstLine="420" w:firstLineChars="200"/>
      </w:pPr>
    </w:p>
    <w:p>
      <w:pPr>
        <w:pStyle w:val="16"/>
        <w:spacing w:before="0" w:after="0" w:afterAutospacing="0"/>
      </w:pPr>
      <w:r>
        <w:rPr>
          <w:rStyle w:val="19"/>
          <w:shd w:val="clear" w:color="auto" w:fill="FAFAFA"/>
        </w:rPr>
        <w:t>No.1参赛对象</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本次大赛主要面向天津市各高校的统计、数学、金融等相关专业（但不限制专业），具有一定金融、数学和计算机编程基础的在校研究生和本科生，采取自由组队（3人）的形式参赛。</w:t>
      </w:r>
    </w:p>
    <w:p>
      <w:pPr>
        <w:pStyle w:val="16"/>
        <w:spacing w:before="0" w:after="0" w:afterAutospacing="0"/>
      </w:pPr>
      <w:r>
        <w:rPr>
          <w:rStyle w:val="19"/>
          <w:shd w:val="clear" w:color="auto" w:fill="FAFAFA"/>
        </w:rPr>
        <w:t>No.2报名要求</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1、学生组队登记参赛，每队人数3人（必须是同校学生），参赛组需邀请1位指导老师。组织方对参赛选手的年级和专业不做具体限制。</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2、参赛选手必须同意比赛委员会设立的比赛相关规则。报名信息需填写真实的姓名、院系，以便于核对身份并颁发奖品。比赛委员会保证所收集到的学生个人信息资料仅用于比赛有关工作，不会公开和泄露。</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3、参赛者需在指定的网站下载相关资料，对比赛报名阶段存在的疑问可以电子邮件和其他指定方式咨询主办方。</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4、本次比赛不收取任何费用。</w:t>
      </w:r>
    </w:p>
    <w:p>
      <w:pPr>
        <w:pStyle w:val="16"/>
        <w:spacing w:before="0" w:after="0" w:afterAutospacing="0"/>
      </w:pPr>
      <w:r>
        <w:rPr>
          <w:rStyle w:val="19"/>
          <w:shd w:val="clear" w:color="auto" w:fill="FAFAFA"/>
        </w:rPr>
        <w:t>No.3主办单位</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天津市工业与应用数学学会</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天津市现场统计研究会</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南开大学统计与数据科学学院</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北京聚源锐思数据科技有限公司</w:t>
      </w:r>
    </w:p>
    <w:p>
      <w:pPr>
        <w:pStyle w:val="16"/>
        <w:spacing w:before="0" w:after="0" w:afterAutospacing="0"/>
      </w:pPr>
      <w:r>
        <w:rPr>
          <w:rStyle w:val="19"/>
          <w:shd w:val="clear" w:color="auto" w:fill="FAFAFA"/>
        </w:rPr>
        <w:t>No.4比赛时间</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报名阶段：2019年11月18日0:00至11月28日24:00</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初赛阶段：2019年11月29日至12月31日</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初赛评阅阶段：2020年01月01日至01月15日</w:t>
      </w:r>
    </w:p>
    <w:p>
      <w:pPr>
        <w:pStyle w:val="16"/>
        <w:spacing w:before="0" w:after="0" w:afterAutospacing="0"/>
        <w:ind w:firstLine="420"/>
        <w:rPr>
          <w:rFonts w:ascii="Times New Roman" w:hAnsi="Times New Roman" w:cs="Times New Roman"/>
          <w:kern w:val="2"/>
          <w:sz w:val="21"/>
        </w:rPr>
      </w:pPr>
      <w:r>
        <w:rPr>
          <w:rFonts w:hint="eastAsia" w:ascii="Times New Roman" w:hAnsi="Times New Roman" w:cs="Times New Roman"/>
          <w:kern w:val="2"/>
          <w:sz w:val="21"/>
        </w:rPr>
        <w:t>决赛答辩阶段：具体时间另行通知</w:t>
      </w:r>
    </w:p>
    <w:p>
      <w:pPr>
        <w:pStyle w:val="16"/>
        <w:spacing w:before="0" w:after="0" w:afterAutospacing="0"/>
      </w:pPr>
      <w:r>
        <w:rPr>
          <w:rStyle w:val="19"/>
          <w:shd w:val="clear" w:color="auto" w:fill="FAFAFA"/>
        </w:rPr>
        <w:t>No.5比赛流程</w:t>
      </w:r>
    </w:p>
    <w:p>
      <w:pPr>
        <w:pStyle w:val="16"/>
        <w:spacing w:before="0" w:after="0" w:afterAutospacing="0"/>
        <w:ind w:firstLine="420"/>
        <w:rPr>
          <w:rFonts w:ascii="Times New Roman" w:hAnsi="Times New Roman" w:cs="Times New Roman"/>
          <w:kern w:val="2"/>
          <w:sz w:val="21"/>
        </w:rPr>
      </w:pPr>
      <w:r>
        <w:rPr>
          <w:shd w:val="clear" w:color="auto" w:fill="FAFAFA"/>
        </w:rPr>
        <w:t>1、</w:t>
      </w:r>
      <w:r>
        <w:rPr>
          <w:rStyle w:val="19"/>
          <w:color w:val="EE8006"/>
          <w:shd w:val="clear" w:color="auto" w:fill="FAFAFA"/>
        </w:rPr>
        <w:t>报名阶段：</w:t>
      </w:r>
      <w:r>
        <w:rPr>
          <w:rFonts w:hint="eastAsia" w:ascii="Times New Roman" w:hAnsi="Times New Roman" w:cs="Times New Roman"/>
          <w:kern w:val="2"/>
          <w:sz w:val="21"/>
        </w:rPr>
        <w:t>本阶段比赛正式发布，学生可以通过登录锐思数据网站（www.resset.cn）或大赛指定网站了解规则及报名，点击网站中“</w:t>
      </w:r>
      <w:r>
        <w:rPr>
          <w:rFonts w:hint="eastAsia" w:ascii="Times New Roman" w:hAnsi="Times New Roman" w:cs="Times New Roman"/>
          <w:b/>
          <w:bCs/>
          <w:kern w:val="2"/>
          <w:sz w:val="21"/>
        </w:rPr>
        <w:t>我要报名</w:t>
      </w:r>
      <w:r>
        <w:rPr>
          <w:rFonts w:hint="eastAsia" w:ascii="Times New Roman" w:hAnsi="Times New Roman" w:cs="Times New Roman"/>
          <w:kern w:val="2"/>
          <w:sz w:val="21"/>
        </w:rPr>
        <w:t>”按钮进入大赛报名界面，根据界面指示填写相关报名信息，于</w:t>
      </w:r>
      <w:r>
        <w:rPr>
          <w:rFonts w:hint="eastAsia" w:ascii="Times New Roman" w:hAnsi="Times New Roman" w:cs="Times New Roman"/>
          <w:b/>
          <w:bCs/>
          <w:kern w:val="2"/>
          <w:sz w:val="21"/>
        </w:rPr>
        <w:t>11月28日24:00</w:t>
      </w:r>
      <w:r>
        <w:rPr>
          <w:rFonts w:hint="eastAsia" w:ascii="Times New Roman" w:hAnsi="Times New Roman" w:cs="Times New Roman"/>
          <w:kern w:val="2"/>
          <w:sz w:val="21"/>
        </w:rPr>
        <w:t>前完成报名。报名后利用开赛前的时间进行一些调研和学习，同时，参赛者可以根据比赛指引，熟悉比赛需要用到的数据调用及分析工具、大赛规则等。</w:t>
      </w:r>
    </w:p>
    <w:p>
      <w:pPr>
        <w:pStyle w:val="16"/>
        <w:spacing w:before="0" w:after="0" w:afterAutospacing="0"/>
        <w:ind w:firstLine="420"/>
        <w:rPr>
          <w:rFonts w:ascii="Times New Roman" w:hAnsi="Times New Roman" w:cs="Times New Roman"/>
          <w:kern w:val="2"/>
          <w:sz w:val="21"/>
        </w:rPr>
      </w:pPr>
      <w:r>
        <w:rPr>
          <w:shd w:val="clear" w:color="auto" w:fill="FAFAFA"/>
        </w:rPr>
        <w:t>2、</w:t>
      </w:r>
      <w:r>
        <w:rPr>
          <w:rStyle w:val="19"/>
          <w:color w:val="EE8006"/>
          <w:shd w:val="clear" w:color="auto" w:fill="FAFAFA"/>
        </w:rPr>
        <w:t>初赛阶段：</w:t>
      </w:r>
      <w:r>
        <w:rPr>
          <w:rFonts w:hint="eastAsia" w:ascii="Times New Roman" w:hAnsi="Times New Roman" w:cs="Times New Roman"/>
          <w:kern w:val="2"/>
          <w:sz w:val="21"/>
        </w:rPr>
        <w:t>组委会将会在锐思数据官网公布比赛题目，参赛者可自行选择赛题，开始建模。各参赛选手应于</w:t>
      </w:r>
      <w:r>
        <w:rPr>
          <w:rFonts w:hint="eastAsia" w:ascii="Times New Roman" w:hAnsi="Times New Roman" w:cs="Times New Roman"/>
          <w:b/>
          <w:bCs/>
          <w:kern w:val="2"/>
          <w:sz w:val="21"/>
        </w:rPr>
        <w:t>12月31日</w:t>
      </w:r>
      <w:r>
        <w:rPr>
          <w:rFonts w:hint="eastAsia" w:ascii="Times New Roman" w:hAnsi="Times New Roman" w:cs="Times New Roman"/>
          <w:kern w:val="2"/>
          <w:sz w:val="21"/>
        </w:rPr>
        <w:t>之前，提交建模论文的最终稿，论文格式为word或pdf。</w:t>
      </w:r>
    </w:p>
    <w:p>
      <w:pPr>
        <w:pStyle w:val="16"/>
        <w:spacing w:before="0" w:after="0" w:afterAutospacing="0"/>
        <w:ind w:firstLine="420"/>
        <w:rPr>
          <w:rFonts w:ascii="Times New Roman" w:hAnsi="Times New Roman" w:cs="Times New Roman"/>
          <w:kern w:val="2"/>
          <w:sz w:val="21"/>
        </w:rPr>
      </w:pPr>
      <w:r>
        <w:rPr>
          <w:shd w:val="clear" w:color="auto" w:fill="FAFAFA"/>
        </w:rPr>
        <w:t>3、</w:t>
      </w:r>
      <w:r>
        <w:rPr>
          <w:rStyle w:val="19"/>
          <w:color w:val="EE8006"/>
          <w:shd w:val="clear" w:color="auto" w:fill="FAFAFA"/>
        </w:rPr>
        <w:t>初赛评阅阶段：</w:t>
      </w:r>
      <w:r>
        <w:rPr>
          <w:rFonts w:hint="eastAsia" w:ascii="Times New Roman" w:hAnsi="Times New Roman" w:cs="Times New Roman"/>
          <w:kern w:val="2"/>
          <w:sz w:val="21"/>
        </w:rPr>
        <w:t>由主办方聘请的专家以及部分参赛学院老师组成评委会进行审阅。采取匿名分次评阅的方式进行，每个评委将会轮流两次对参赛作品进行评选。组委会将会在每组分数出来之时，第一时间在网站发布评分信息，并及时根据分数进行排名，筛选出16组参赛队伍进入决赛。</w:t>
      </w:r>
    </w:p>
    <w:p>
      <w:pPr>
        <w:pStyle w:val="16"/>
        <w:spacing w:before="0" w:after="0" w:afterAutospacing="0"/>
        <w:ind w:firstLine="420"/>
      </w:pPr>
      <w:r>
        <w:rPr>
          <w:shd w:val="clear" w:color="auto" w:fill="FAFAFA"/>
        </w:rPr>
        <w:t>4、</w:t>
      </w:r>
      <w:r>
        <w:rPr>
          <w:rStyle w:val="19"/>
          <w:color w:val="EE8006"/>
          <w:shd w:val="clear" w:color="auto" w:fill="FAFAFA"/>
        </w:rPr>
        <w:t>决赛答辩阶段：</w:t>
      </w:r>
      <w:r>
        <w:rPr>
          <w:rFonts w:hint="eastAsia" w:ascii="Times New Roman" w:hAnsi="Times New Roman" w:cs="Times New Roman"/>
          <w:kern w:val="2"/>
          <w:sz w:val="21"/>
        </w:rPr>
        <w:t>参加决赛的队伍制作ppt完善报告并参加答辩，最终评选出一、二、三等奖获得者。答辩委员会由主办方聘请的专家组成</w:t>
      </w:r>
      <w:r>
        <w:rPr>
          <w:shd w:val="clear" w:color="auto" w:fill="FAFAFA"/>
        </w:rPr>
        <w:t>。</w:t>
      </w:r>
    </w:p>
    <w:p>
      <w:pPr>
        <w:pStyle w:val="16"/>
        <w:spacing w:before="0" w:after="0" w:afterAutospacing="0"/>
        <w:ind w:firstLine="420"/>
        <w:rPr>
          <w:rFonts w:ascii="Times New Roman" w:hAnsi="Times New Roman" w:cs="Times New Roman"/>
          <w:kern w:val="2"/>
          <w:sz w:val="21"/>
        </w:rPr>
      </w:pPr>
      <w:r>
        <w:rPr>
          <w:shd w:val="clear" w:color="auto" w:fill="FAFAFA"/>
        </w:rPr>
        <w:t>5、</w:t>
      </w:r>
      <w:r>
        <w:rPr>
          <w:rStyle w:val="19"/>
          <w:color w:val="EE8006"/>
          <w:shd w:val="clear" w:color="auto" w:fill="FAFAFA"/>
        </w:rPr>
        <w:t>颁奖（待定）：</w:t>
      </w:r>
      <w:r>
        <w:rPr>
          <w:rFonts w:hint="eastAsia" w:ascii="Times New Roman" w:hAnsi="Times New Roman" w:cs="Times New Roman"/>
          <w:kern w:val="2"/>
          <w:sz w:val="21"/>
        </w:rPr>
        <w:t>另行通知。</w:t>
      </w:r>
    </w:p>
    <w:p>
      <w:pPr>
        <w:pStyle w:val="16"/>
        <w:spacing w:before="0" w:after="0" w:afterAutospacing="0"/>
      </w:pPr>
      <w:r>
        <w:rPr>
          <w:rStyle w:val="19"/>
          <w:shd w:val="clear" w:color="auto" w:fill="FAFAFA"/>
        </w:rPr>
        <w:t>No.6报名须知</w:t>
      </w:r>
    </w:p>
    <w:p>
      <w:pPr>
        <w:pStyle w:val="16"/>
        <w:spacing w:before="0" w:after="0" w:afterAutospacing="0"/>
        <w:ind w:firstLine="420"/>
      </w:pPr>
      <w:r>
        <w:rPr>
          <w:rFonts w:hint="eastAsia" w:ascii="Times New Roman" w:hAnsi="Times New Roman" w:cs="Times New Roman"/>
          <w:kern w:val="2"/>
          <w:sz w:val="21"/>
        </w:rPr>
        <w:t>登录锐思数据官网（www.resset.cn）或大赛指定报名入口（http://edu.resset.com/nankai/），点击“</w:t>
      </w:r>
      <w:r>
        <w:rPr>
          <w:rFonts w:hint="eastAsia" w:ascii="Times New Roman" w:hAnsi="Times New Roman" w:cs="Times New Roman"/>
          <w:b/>
          <w:bCs/>
          <w:kern w:val="2"/>
          <w:sz w:val="21"/>
        </w:rPr>
        <w:t>我要报名</w:t>
      </w:r>
      <w:r>
        <w:rPr>
          <w:rFonts w:hint="eastAsia" w:ascii="Times New Roman" w:hAnsi="Times New Roman" w:cs="Times New Roman"/>
          <w:kern w:val="2"/>
          <w:sz w:val="21"/>
        </w:rPr>
        <w:t>”按钮进行报名，按照报名网站的信息进行报名要求的填写。</w:t>
      </w:r>
    </w:p>
    <w:p>
      <w:pPr>
        <w:pStyle w:val="16"/>
        <w:spacing w:before="0" w:after="0" w:afterAutospacing="0"/>
        <w:ind w:firstLine="420"/>
      </w:pPr>
      <w:r>
        <w:rPr>
          <w:rStyle w:val="19"/>
          <w:color w:val="FFCA00"/>
          <w:shd w:val="clear" w:color="auto" w:fill="FAFAFA"/>
        </w:rPr>
        <w:t>★ </w:t>
      </w:r>
      <w:r>
        <w:rPr>
          <w:rFonts w:hint="eastAsia" w:ascii="Times New Roman" w:hAnsi="Times New Roman" w:cs="Times New Roman"/>
          <w:kern w:val="2"/>
          <w:sz w:val="21"/>
        </w:rPr>
        <w:t>报名需组建好团队后，以团队形式统一报名。</w:t>
      </w:r>
    </w:p>
    <w:p>
      <w:pPr>
        <w:pStyle w:val="16"/>
        <w:spacing w:before="0" w:after="0" w:afterAutospacing="0"/>
        <w:ind w:firstLine="420"/>
      </w:pPr>
      <w:r>
        <w:rPr>
          <w:rStyle w:val="19"/>
          <w:color w:val="FFCA00"/>
          <w:shd w:val="clear" w:color="auto" w:fill="FAFAFA"/>
        </w:rPr>
        <w:t>★ </w:t>
      </w:r>
      <w:r>
        <w:rPr>
          <w:rFonts w:hint="eastAsia" w:ascii="Times New Roman" w:hAnsi="Times New Roman" w:cs="Times New Roman"/>
          <w:kern w:val="2"/>
          <w:sz w:val="21"/>
        </w:rPr>
        <w:t>后续会安排关于锐思数据库使用方法的赛前培训。</w:t>
      </w:r>
    </w:p>
    <w:p>
      <w:pPr>
        <w:pStyle w:val="16"/>
        <w:spacing w:before="0" w:after="0" w:afterAutospacing="0"/>
        <w:ind w:firstLine="420"/>
        <w:rPr>
          <w:rFonts w:ascii="Times New Roman" w:hAnsi="Times New Roman" w:cs="Times New Roman"/>
          <w:kern w:val="2"/>
          <w:sz w:val="21"/>
        </w:rPr>
      </w:pPr>
      <w:r>
        <w:rPr>
          <w:rStyle w:val="19"/>
          <w:color w:val="FFCA00"/>
          <w:shd w:val="clear" w:color="auto" w:fill="FAFAFA"/>
        </w:rPr>
        <w:t>★ </w:t>
      </w:r>
      <w:r>
        <w:rPr>
          <w:rFonts w:hint="eastAsia" w:ascii="Times New Roman" w:hAnsi="Times New Roman" w:cs="Times New Roman"/>
          <w:kern w:val="2"/>
          <w:sz w:val="21"/>
        </w:rPr>
        <w:t>赛题、论文格式、比赛具体细则详见锐思数据官网中大赛页面的附件。</w:t>
      </w:r>
    </w:p>
    <w:p>
      <w:pPr>
        <w:pStyle w:val="16"/>
        <w:spacing w:before="0" w:after="0" w:afterAutospacing="0"/>
        <w:ind w:firstLine="840" w:firstLineChars="400"/>
        <w:rPr>
          <w:rFonts w:ascii="Times New Roman" w:hAnsi="Times New Roman" w:cs="Times New Roman"/>
          <w:kern w:val="2"/>
          <w:sz w:val="21"/>
        </w:rPr>
      </w:pPr>
      <w:r>
        <w:rPr>
          <w:rFonts w:hint="eastAsia" w:ascii="Times New Roman" w:hAnsi="Times New Roman" w:cs="Times New Roman"/>
          <w:kern w:val="2"/>
          <w:sz w:val="21"/>
        </w:rPr>
        <w:t>联系方式：010-82601461     联系邮箱：resset@resset.cn</w:t>
      </w:r>
    </w:p>
    <w:p>
      <w:pPr>
        <w:pStyle w:val="16"/>
        <w:spacing w:before="0" w:after="0" w:afterAutospacing="0"/>
      </w:pPr>
      <w:r>
        <w:rPr>
          <w:rStyle w:val="19"/>
          <w:shd w:val="clear" w:color="auto" w:fill="FAFAFA"/>
        </w:rPr>
        <w:t>No.7评审规则及奖项设置</w:t>
      </w:r>
    </w:p>
    <w:p>
      <w:pPr>
        <w:pStyle w:val="16"/>
        <w:spacing w:before="0" w:after="0" w:afterAutospacing="0"/>
      </w:pPr>
      <w:r>
        <w:rPr>
          <w:rStyle w:val="19"/>
          <w:shd w:val="clear" w:color="auto" w:fill="FAFAFA"/>
        </w:rPr>
        <w:t>第一条 评审规则 </w:t>
      </w:r>
    </w:p>
    <w:p>
      <w:pPr>
        <w:pStyle w:val="16"/>
        <w:spacing w:before="0" w:after="0" w:afterAutospacing="0"/>
        <w:ind w:left="840" w:leftChars="200" w:hanging="420" w:hangingChars="200"/>
        <w:rPr>
          <w:rFonts w:ascii="Times New Roman" w:hAnsi="Times New Roman" w:cs="Times New Roman"/>
          <w:kern w:val="2"/>
          <w:sz w:val="21"/>
        </w:rPr>
      </w:pPr>
      <w:r>
        <w:rPr>
          <w:rFonts w:hint="eastAsia" w:ascii="Times New Roman" w:hAnsi="Times New Roman" w:cs="Times New Roman"/>
          <w:kern w:val="2"/>
          <w:sz w:val="21"/>
        </w:rPr>
        <w:t>1、主办方收集到的成果后，将所有成果统一匿名编号，由评审委员会进行评审，从而确定各等奖获奖名单。</w:t>
      </w:r>
    </w:p>
    <w:p>
      <w:pPr>
        <w:pStyle w:val="16"/>
        <w:spacing w:before="0" w:after="0" w:afterAutospacing="0"/>
        <w:ind w:firstLine="420"/>
      </w:pPr>
      <w:r>
        <w:rPr>
          <w:rFonts w:hint="eastAsia" w:ascii="Times New Roman" w:hAnsi="Times New Roman" w:cs="Times New Roman"/>
          <w:kern w:val="2"/>
          <w:sz w:val="21"/>
        </w:rPr>
        <w:t>2、对违反比赛规则的参赛个人和队伍，一经发现，取消参赛资格，成绩无效。</w:t>
      </w:r>
    </w:p>
    <w:p>
      <w:pPr>
        <w:pStyle w:val="16"/>
        <w:spacing w:before="0" w:after="0" w:afterAutospacing="0"/>
      </w:pPr>
      <w:r>
        <w:rPr>
          <w:rStyle w:val="19"/>
          <w:shd w:val="clear" w:color="auto" w:fill="FAFAFA"/>
        </w:rPr>
        <w:t>第二条 奖项设置</w:t>
      </w:r>
    </w:p>
    <w:p>
      <w:pPr>
        <w:pStyle w:val="16"/>
        <w:spacing w:before="0" w:after="0" w:afterAutospacing="0"/>
        <w:rPr>
          <w:rFonts w:ascii="Times New Roman" w:hAnsi="Times New Roman" w:cs="Times New Roman"/>
          <w:kern w:val="2"/>
          <w:sz w:val="21"/>
        </w:rPr>
      </w:pPr>
      <w:r>
        <w:rPr>
          <w:rStyle w:val="19"/>
          <w:color w:val="EE8006"/>
          <w:shd w:val="clear" w:color="auto" w:fill="FAFAFA"/>
        </w:rPr>
        <w:t>一等奖</w:t>
      </w:r>
      <w:r>
        <w:rPr>
          <w:rFonts w:hint="eastAsia" w:ascii="Times New Roman" w:hAnsi="Times New Roman" w:cs="Times New Roman"/>
          <w:kern w:val="2"/>
          <w:sz w:val="21"/>
        </w:rPr>
        <w:t>1组，奖品：</w:t>
      </w:r>
    </w:p>
    <w:p>
      <w:pPr>
        <w:pStyle w:val="16"/>
        <w:spacing w:before="0" w:after="0" w:afterAutospacing="0"/>
        <w:ind w:left="840" w:leftChars="200" w:hanging="420" w:hangingChars="200"/>
        <w:rPr>
          <w:rFonts w:ascii="Times New Roman" w:hAnsi="Times New Roman" w:cs="Times New Roman"/>
          <w:kern w:val="2"/>
          <w:sz w:val="21"/>
        </w:rPr>
      </w:pPr>
      <w:r>
        <w:rPr>
          <w:rFonts w:hint="eastAsia" w:ascii="Times New Roman" w:hAnsi="Times New Roman" w:cs="Times New Roman"/>
          <w:kern w:val="2"/>
          <w:sz w:val="21"/>
        </w:rPr>
        <w:t>1、“锐思杯”金融数据与统计建模大赛荣誉证书一本</w:t>
      </w:r>
    </w:p>
    <w:p>
      <w:pPr>
        <w:pStyle w:val="16"/>
        <w:spacing w:before="0" w:after="0" w:afterAutospacing="0"/>
        <w:ind w:left="840" w:leftChars="200" w:hanging="420" w:hangingChars="200"/>
        <w:rPr>
          <w:rFonts w:ascii="Times New Roman" w:hAnsi="Times New Roman" w:cs="Times New Roman"/>
          <w:kern w:val="2"/>
          <w:sz w:val="21"/>
        </w:rPr>
      </w:pPr>
      <w:r>
        <w:rPr>
          <w:rFonts w:hint="eastAsia" w:ascii="Times New Roman" w:hAnsi="Times New Roman" w:cs="Times New Roman"/>
          <w:kern w:val="2"/>
          <w:sz w:val="21"/>
        </w:rPr>
        <w:t>2、奖金10000元</w:t>
      </w:r>
    </w:p>
    <w:p>
      <w:pPr>
        <w:pStyle w:val="16"/>
        <w:spacing w:before="0" w:after="0" w:afterAutospacing="0"/>
        <w:rPr>
          <w:rFonts w:ascii="Times New Roman" w:hAnsi="Times New Roman" w:cs="Times New Roman"/>
          <w:kern w:val="2"/>
          <w:sz w:val="21"/>
        </w:rPr>
      </w:pPr>
      <w:r>
        <w:rPr>
          <w:rStyle w:val="19"/>
          <w:color w:val="EE8006"/>
          <w:shd w:val="clear" w:color="auto" w:fill="FAFAFA"/>
        </w:rPr>
        <w:t>二等奖</w:t>
      </w:r>
      <w:r>
        <w:rPr>
          <w:rFonts w:hint="eastAsia" w:ascii="Times New Roman" w:hAnsi="Times New Roman" w:cs="Times New Roman"/>
          <w:kern w:val="2"/>
          <w:sz w:val="21"/>
        </w:rPr>
        <w:t>2组，奖品：</w:t>
      </w:r>
    </w:p>
    <w:p>
      <w:pPr>
        <w:pStyle w:val="16"/>
        <w:spacing w:before="0" w:after="0" w:afterAutospacing="0"/>
        <w:ind w:left="840" w:leftChars="200" w:hanging="420" w:hangingChars="200"/>
        <w:rPr>
          <w:rFonts w:ascii="Times New Roman" w:hAnsi="Times New Roman" w:cs="Times New Roman"/>
          <w:kern w:val="2"/>
          <w:sz w:val="21"/>
        </w:rPr>
      </w:pPr>
      <w:r>
        <w:rPr>
          <w:rFonts w:hint="eastAsia" w:ascii="Times New Roman" w:hAnsi="Times New Roman" w:cs="Times New Roman"/>
          <w:kern w:val="2"/>
          <w:sz w:val="21"/>
        </w:rPr>
        <w:t>1、“锐思杯”金融数据与统计建模大赛荣誉证书一本</w:t>
      </w:r>
    </w:p>
    <w:p>
      <w:pPr>
        <w:pStyle w:val="16"/>
        <w:spacing w:before="0" w:after="0" w:afterAutospacing="0"/>
        <w:ind w:left="840" w:leftChars="200" w:hanging="420" w:hangingChars="200"/>
      </w:pPr>
      <w:r>
        <w:rPr>
          <w:rFonts w:hint="eastAsia" w:ascii="Times New Roman" w:hAnsi="Times New Roman" w:cs="Times New Roman"/>
          <w:kern w:val="2"/>
          <w:sz w:val="21"/>
        </w:rPr>
        <w:t>2、奖金5000/组</w:t>
      </w:r>
    </w:p>
    <w:p>
      <w:pPr>
        <w:pStyle w:val="16"/>
        <w:spacing w:before="0" w:after="0" w:afterAutospacing="0"/>
        <w:rPr>
          <w:rFonts w:ascii="Times New Roman" w:hAnsi="Times New Roman" w:cs="Times New Roman"/>
          <w:kern w:val="2"/>
          <w:sz w:val="21"/>
        </w:rPr>
      </w:pPr>
      <w:r>
        <w:rPr>
          <w:rStyle w:val="19"/>
          <w:color w:val="EE8006"/>
          <w:shd w:val="clear" w:color="auto" w:fill="FAFAFA"/>
        </w:rPr>
        <w:t>三等奖</w:t>
      </w:r>
      <w:r>
        <w:rPr>
          <w:rFonts w:hint="eastAsia" w:ascii="Times New Roman" w:hAnsi="Times New Roman" w:cs="Times New Roman"/>
          <w:kern w:val="2"/>
          <w:sz w:val="21"/>
        </w:rPr>
        <w:t>3组，奖品：</w:t>
      </w:r>
    </w:p>
    <w:p>
      <w:pPr>
        <w:pStyle w:val="16"/>
        <w:spacing w:before="0" w:after="0" w:afterAutospacing="0"/>
        <w:ind w:left="840" w:leftChars="200" w:hanging="420" w:hangingChars="200"/>
        <w:rPr>
          <w:rFonts w:ascii="Times New Roman" w:hAnsi="Times New Roman" w:cs="Times New Roman"/>
          <w:kern w:val="2"/>
          <w:sz w:val="21"/>
        </w:rPr>
      </w:pPr>
      <w:r>
        <w:rPr>
          <w:rFonts w:hint="eastAsia" w:ascii="Times New Roman" w:hAnsi="Times New Roman" w:cs="Times New Roman"/>
          <w:kern w:val="2"/>
          <w:sz w:val="21"/>
        </w:rPr>
        <w:t>1、“锐思杯”金融数据与统计建模大赛荣誉证书一本</w:t>
      </w:r>
    </w:p>
    <w:p>
      <w:pPr>
        <w:pStyle w:val="16"/>
        <w:spacing w:before="0" w:after="0" w:afterAutospacing="0"/>
        <w:ind w:left="840" w:leftChars="200" w:hanging="420" w:hangingChars="200"/>
        <w:rPr>
          <w:rFonts w:ascii="Times New Roman" w:hAnsi="Times New Roman" w:cs="Times New Roman"/>
          <w:kern w:val="2"/>
          <w:sz w:val="21"/>
        </w:rPr>
      </w:pPr>
      <w:r>
        <w:rPr>
          <w:rFonts w:hint="eastAsia" w:ascii="Times New Roman" w:hAnsi="Times New Roman" w:cs="Times New Roman"/>
          <w:kern w:val="2"/>
          <w:sz w:val="21"/>
        </w:rPr>
        <w:t>2、奖金2000/组</w:t>
      </w:r>
    </w:p>
    <w:p>
      <w:pPr>
        <w:pStyle w:val="16"/>
        <w:spacing w:before="0" w:after="0" w:afterAutospacing="0"/>
        <w:rPr>
          <w:rFonts w:ascii="Times New Roman" w:hAnsi="Times New Roman" w:cs="Times New Roman"/>
          <w:kern w:val="2"/>
          <w:sz w:val="21"/>
        </w:rPr>
      </w:pPr>
      <w:r>
        <w:rPr>
          <w:rStyle w:val="19"/>
          <w:color w:val="EE8006"/>
          <w:shd w:val="clear" w:color="auto" w:fill="FAFAFA"/>
        </w:rPr>
        <w:t>优秀奖</w:t>
      </w:r>
      <w:r>
        <w:rPr>
          <w:rFonts w:hint="eastAsia" w:ascii="Times New Roman" w:hAnsi="Times New Roman" w:cs="Times New Roman"/>
          <w:kern w:val="2"/>
          <w:sz w:val="21"/>
        </w:rPr>
        <w:t>10组，奖品：</w:t>
      </w:r>
    </w:p>
    <w:p>
      <w:pPr>
        <w:pStyle w:val="16"/>
        <w:spacing w:before="0" w:after="0" w:afterAutospacing="0"/>
        <w:ind w:left="840" w:leftChars="200" w:hanging="420" w:hangingChars="200"/>
        <w:rPr>
          <w:rFonts w:ascii="Times New Roman" w:hAnsi="Times New Roman" w:cs="Times New Roman"/>
          <w:kern w:val="2"/>
          <w:sz w:val="21"/>
        </w:rPr>
      </w:pPr>
      <w:r>
        <w:rPr>
          <w:rFonts w:hint="eastAsia" w:ascii="Times New Roman" w:hAnsi="Times New Roman" w:cs="Times New Roman"/>
          <w:kern w:val="2"/>
          <w:sz w:val="21"/>
        </w:rPr>
        <w:t>1、“锐思杯”金融数据与统计建模大赛荣誉证书一本</w:t>
      </w:r>
    </w:p>
    <w:p>
      <w:pPr>
        <w:pStyle w:val="16"/>
        <w:spacing w:before="0" w:after="0" w:afterAutospacing="0"/>
      </w:pPr>
      <w:r>
        <w:rPr>
          <w:rStyle w:val="19"/>
          <w:color w:val="FF8124"/>
          <w:shd w:val="clear" w:color="auto" w:fill="FAFAFA"/>
        </w:rPr>
        <w:t>同时，获奖者均可获得部分锐思数据库使用权限（锐思指定）以及到锐思数据实习或就业的机会。</w:t>
      </w:r>
    </w:p>
    <w:p>
      <w:pPr>
        <w:pStyle w:val="16"/>
        <w:spacing w:before="0" w:after="0" w:afterAutospacing="0"/>
      </w:pPr>
    </w:p>
    <w:p>
      <w:pPr>
        <w:pStyle w:val="16"/>
        <w:spacing w:before="0" w:after="0" w:afterAutospacing="0"/>
        <w:rPr>
          <w:rFonts w:ascii="Times New Roman" w:hAnsi="Times New Roman" w:cs="Times New Roman"/>
          <w:kern w:val="2"/>
          <w:sz w:val="21"/>
        </w:rPr>
      </w:pPr>
      <w:r>
        <w:rPr>
          <w:rFonts w:hint="eastAsia" w:ascii="Times New Roman" w:hAnsi="Times New Roman" w:cs="Times New Roman"/>
          <w:kern w:val="2"/>
          <w:sz w:val="21"/>
        </w:rPr>
        <w:t>上述规则及制度其解释和修改权属于北京聚源锐思数据科技有限公司和南开大学统计与数据科学学院。</w:t>
      </w:r>
    </w:p>
    <w:p>
      <w:pPr>
        <w:pStyle w:val="16"/>
        <w:spacing w:before="0" w:after="0" w:afterAutospacing="0"/>
        <w:ind w:left="840" w:leftChars="200" w:hanging="420" w:hangingChars="200"/>
        <w:rPr>
          <w:rFonts w:ascii="Times New Roman" w:hAnsi="Times New Roman" w:cs="Times New Roman"/>
          <w:kern w:val="2"/>
          <w:sz w:val="21"/>
        </w:rPr>
      </w:pPr>
    </w:p>
    <w:p>
      <w:pPr>
        <w:widowControl/>
        <w:tabs>
          <w:tab w:val="left" w:pos="6874"/>
        </w:tabs>
        <w:spacing w:line="360" w:lineRule="auto"/>
        <w:rPr>
          <w:rFonts w:ascii="宋体" w:hAnsi="宋体" w:cs="宋体"/>
          <w:color w:val="000000"/>
          <w:kern w:val="0"/>
          <w:sz w:val="22"/>
        </w:rPr>
      </w:pPr>
    </w:p>
    <w:p>
      <w:pPr>
        <w:widowControl/>
        <w:spacing w:line="360" w:lineRule="auto"/>
        <w:jc w:val="right"/>
        <w:rPr>
          <w:rFonts w:ascii="宋体" w:hAnsi="宋体" w:cs="宋体"/>
          <w:color w:val="000000"/>
          <w:kern w:val="0"/>
          <w:sz w:val="22"/>
        </w:rPr>
      </w:pPr>
    </w:p>
    <w:p>
      <w:pPr>
        <w:widowControl/>
        <w:spacing w:line="360" w:lineRule="auto"/>
        <w:jc w:val="right"/>
        <w:rPr>
          <w:rFonts w:ascii="宋体" w:hAnsi="宋体" w:cs="宋体"/>
          <w:color w:val="000000"/>
          <w:kern w:val="0"/>
          <w:sz w:val="22"/>
        </w:rPr>
      </w:pPr>
    </w:p>
    <w:p>
      <w:pPr>
        <w:widowControl/>
        <w:spacing w:line="360" w:lineRule="auto"/>
        <w:jc w:val="right"/>
        <w:rPr>
          <w:rFonts w:ascii="宋体" w:hAnsi="宋体" w:cs="宋体"/>
          <w:color w:val="000000"/>
          <w:kern w:val="0"/>
          <w:sz w:val="22"/>
        </w:rPr>
      </w:pPr>
    </w:p>
    <w:p>
      <w:pPr>
        <w:pStyle w:val="2"/>
        <w:jc w:val="center"/>
        <w:rPr>
          <w:rFonts w:ascii="宋体" w:hAnsi="宋体"/>
          <w:color w:val="7030A0"/>
          <w:sz w:val="32"/>
          <w:szCs w:val="32"/>
        </w:rPr>
      </w:pPr>
      <w:bookmarkStart w:id="16" w:name="_Toc24827444"/>
      <w:r>
        <w:rPr>
          <w:rFonts w:ascii="宋体" w:hAnsi="宋体"/>
          <w:color w:val="7030A0"/>
          <w:sz w:val="32"/>
          <w:szCs w:val="32"/>
        </w:rPr>
        <w:t>学会简讯</w:t>
      </w:r>
      <w:bookmarkEnd w:id="2"/>
      <w:bookmarkEnd w:id="16"/>
    </w:p>
    <w:p>
      <w:pPr>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2019年9月14日，学会5名会员代表参加了</w:t>
      </w:r>
      <w:r>
        <w:rPr>
          <w:rFonts w:ascii="宋体" w:hAnsi="宋体" w:cs="宋体"/>
          <w:color w:val="000000"/>
          <w:kern w:val="0"/>
          <w:sz w:val="22"/>
        </w:rPr>
        <w:t>由市科协、市委宣传部、市教委、市科技局等11家单位联合举办的2019年全国科普日天津主场活动暨全域科普嘉年华系列活动</w:t>
      </w:r>
      <w:r>
        <w:rPr>
          <w:rFonts w:hint="eastAsia" w:ascii="宋体" w:hAnsi="宋体" w:cs="宋体"/>
          <w:color w:val="000000"/>
          <w:kern w:val="0"/>
          <w:sz w:val="22"/>
        </w:rPr>
        <w:t xml:space="preserve">。 </w:t>
      </w:r>
    </w:p>
    <w:p>
      <w:pPr>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2019年9月</w:t>
      </w:r>
      <w:r>
        <w:rPr>
          <w:rFonts w:ascii="宋体" w:hAnsi="宋体" w:cs="宋体"/>
          <w:color w:val="000000"/>
          <w:kern w:val="0"/>
          <w:sz w:val="22"/>
        </w:rPr>
        <w:t>29</w:t>
      </w:r>
      <w:r>
        <w:rPr>
          <w:rFonts w:hint="eastAsia" w:ascii="宋体" w:hAnsi="宋体" w:cs="宋体"/>
          <w:color w:val="000000"/>
          <w:kern w:val="0"/>
          <w:sz w:val="22"/>
        </w:rPr>
        <w:t>日，学会党支部书记、天津理工大学宋眉眉教授参加了</w:t>
      </w:r>
      <w:r>
        <w:rPr>
          <w:rFonts w:ascii="宋体" w:hAnsi="宋体" w:cs="宋体"/>
          <w:color w:val="000000"/>
          <w:kern w:val="0"/>
          <w:sz w:val="22"/>
        </w:rPr>
        <w:t>由市科协</w:t>
      </w:r>
      <w:r>
        <w:rPr>
          <w:rFonts w:hint="eastAsia" w:ascii="宋体" w:hAnsi="宋体" w:cs="宋体"/>
          <w:color w:val="000000"/>
          <w:kern w:val="0"/>
          <w:sz w:val="22"/>
        </w:rPr>
        <w:t>科技社团党委</w:t>
      </w:r>
      <w:r>
        <w:rPr>
          <w:rFonts w:ascii="宋体" w:hAnsi="宋体" w:cs="宋体"/>
          <w:color w:val="000000"/>
          <w:kern w:val="0"/>
          <w:sz w:val="22"/>
        </w:rPr>
        <w:t>召开的</w:t>
      </w:r>
      <w:r>
        <w:rPr>
          <w:rFonts w:hint="eastAsia" w:ascii="宋体" w:hAnsi="宋体" w:cs="宋体"/>
          <w:color w:val="000000"/>
          <w:kern w:val="0"/>
          <w:sz w:val="22"/>
        </w:rPr>
        <w:t>“不忘初心、牢记使命”主题教育暨党建工作和阵地建设交流会。</w:t>
      </w:r>
    </w:p>
    <w:p>
      <w:pPr>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019年</w:t>
      </w:r>
      <w:r>
        <w:rPr>
          <w:rFonts w:hint="eastAsia" w:ascii="宋体" w:hAnsi="宋体" w:cs="宋体"/>
          <w:color w:val="000000"/>
          <w:kern w:val="0"/>
          <w:sz w:val="22"/>
        </w:rPr>
        <w:t>1</w:t>
      </w:r>
      <w:r>
        <w:rPr>
          <w:rFonts w:ascii="宋体" w:hAnsi="宋体" w:cs="宋体"/>
          <w:color w:val="000000"/>
          <w:kern w:val="0"/>
          <w:sz w:val="22"/>
        </w:rPr>
        <w:t>0月</w:t>
      </w:r>
      <w:r>
        <w:rPr>
          <w:rFonts w:hint="eastAsia" w:ascii="宋体" w:hAnsi="宋体" w:cs="宋体"/>
          <w:color w:val="000000"/>
          <w:kern w:val="0"/>
          <w:sz w:val="22"/>
        </w:rPr>
        <w:t>9-</w:t>
      </w:r>
      <w:r>
        <w:rPr>
          <w:rFonts w:ascii="宋体" w:hAnsi="宋体" w:cs="宋体"/>
          <w:color w:val="000000"/>
          <w:kern w:val="0"/>
          <w:sz w:val="22"/>
        </w:rPr>
        <w:t>10日</w:t>
      </w:r>
      <w:r>
        <w:rPr>
          <w:rFonts w:hint="eastAsia" w:ascii="宋体" w:hAnsi="宋体" w:cs="宋体"/>
          <w:color w:val="000000"/>
          <w:kern w:val="0"/>
          <w:sz w:val="22"/>
        </w:rPr>
        <w:t>，</w:t>
      </w:r>
      <w:r>
        <w:rPr>
          <w:rFonts w:ascii="宋体" w:hAnsi="宋体" w:cs="宋体"/>
          <w:color w:val="000000"/>
          <w:kern w:val="0"/>
          <w:sz w:val="22"/>
        </w:rPr>
        <w:t>学会秘书长史永堂教授</w:t>
      </w:r>
      <w:r>
        <w:rPr>
          <w:rFonts w:hint="eastAsia" w:ascii="宋体" w:hAnsi="宋体" w:cs="宋体"/>
          <w:color w:val="000000"/>
          <w:kern w:val="0"/>
          <w:sz w:val="22"/>
        </w:rPr>
        <w:t>、</w:t>
      </w:r>
      <w:r>
        <w:rPr>
          <w:rFonts w:ascii="宋体" w:hAnsi="宋体" w:cs="宋体"/>
          <w:color w:val="000000"/>
          <w:kern w:val="0"/>
          <w:sz w:val="22"/>
        </w:rPr>
        <w:t>南开大学任晓艳老师</w:t>
      </w:r>
      <w:r>
        <w:rPr>
          <w:rFonts w:hint="eastAsia" w:ascii="宋体" w:hAnsi="宋体" w:cs="宋体"/>
          <w:color w:val="000000"/>
          <w:kern w:val="0"/>
          <w:sz w:val="22"/>
        </w:rPr>
        <w:t>、</w:t>
      </w:r>
      <w:r>
        <w:rPr>
          <w:rFonts w:ascii="宋体" w:hAnsi="宋体" w:cs="宋体"/>
          <w:color w:val="000000"/>
          <w:kern w:val="0"/>
          <w:sz w:val="22"/>
        </w:rPr>
        <w:t>雷辉老师参加了市科协第九次代表大会</w:t>
      </w:r>
      <w:r>
        <w:rPr>
          <w:rFonts w:hint="eastAsia" w:ascii="宋体" w:hAnsi="宋体" w:cs="宋体"/>
          <w:color w:val="000000"/>
          <w:kern w:val="0"/>
          <w:sz w:val="22"/>
        </w:rPr>
        <w:t>。</w:t>
      </w:r>
    </w:p>
    <w:p>
      <w:pPr>
        <w:spacing w:line="360" w:lineRule="exact"/>
        <w:rPr>
          <w:rFonts w:ascii="黑体" w:hAnsi="宋体" w:eastAsia="黑体"/>
          <w:b/>
          <w:color w:val="000000"/>
          <w:sz w:val="28"/>
          <w:szCs w:val="28"/>
        </w:rPr>
      </w:pPr>
    </w:p>
    <w:p>
      <w:pPr>
        <w:spacing w:line="360" w:lineRule="exact"/>
        <w:rPr>
          <w:rFonts w:ascii="黑体" w:hAnsi="宋体" w:eastAsia="黑体"/>
          <w:b/>
          <w:color w:val="000000"/>
          <w:sz w:val="28"/>
          <w:szCs w:val="28"/>
        </w:rPr>
      </w:pPr>
    </w:p>
    <w:p>
      <w:pPr>
        <w:widowControl/>
        <w:spacing w:line="360" w:lineRule="auto"/>
        <w:ind w:firstLine="440" w:firstLineChars="200"/>
        <w:rPr>
          <w:rFonts w:ascii="宋体" w:hAnsi="宋体" w:cs="宋体"/>
          <w:color w:val="000000"/>
          <w:kern w:val="0"/>
          <w:sz w:val="22"/>
        </w:rPr>
      </w:pPr>
    </w:p>
    <w:p>
      <w:pPr>
        <w:widowControl/>
        <w:spacing w:line="360" w:lineRule="auto"/>
        <w:rPr>
          <w:rFonts w:ascii="宋体" w:hAnsi="宋体" w:cs="宋体"/>
          <w:color w:val="000000"/>
          <w:kern w:val="0"/>
          <w:sz w:val="22"/>
        </w:rPr>
      </w:pPr>
    </w:p>
    <w:p>
      <w:pPr>
        <w:widowControl/>
        <w:spacing w:line="360" w:lineRule="auto"/>
        <w:rPr>
          <w:rFonts w:ascii="宋体" w:hAnsi="宋体" w:cs="宋体"/>
          <w:color w:val="000000"/>
          <w:kern w:val="0"/>
          <w:sz w:val="22"/>
        </w:rPr>
      </w:pPr>
    </w:p>
    <w:p>
      <w:pPr>
        <w:widowControl/>
        <w:spacing w:line="360" w:lineRule="auto"/>
        <w:rPr>
          <w:rFonts w:ascii="宋体" w:hAnsi="宋体" w:cs="宋体"/>
          <w:color w:val="000000"/>
          <w:kern w:val="0"/>
          <w:sz w:val="22"/>
        </w:rPr>
      </w:pPr>
    </w:p>
    <w:p>
      <w:pPr>
        <w:widowControl/>
        <w:spacing w:line="360" w:lineRule="auto"/>
        <w:ind w:firstLine="440" w:firstLineChars="200"/>
        <w:rPr>
          <w:rFonts w:ascii="宋体" w:hAnsi="宋体" w:cs="宋体"/>
          <w:color w:val="000000"/>
          <w:kern w:val="0"/>
          <w:sz w:val="22"/>
        </w:rPr>
      </w:pPr>
    </w:p>
    <w:p>
      <w:pPr>
        <w:widowControl/>
        <w:spacing w:line="360" w:lineRule="auto"/>
        <w:ind w:firstLine="440" w:firstLineChars="200"/>
        <w:rPr>
          <w:rFonts w:ascii="宋体" w:hAnsi="宋体" w:cs="宋体"/>
          <w:color w:val="000000"/>
          <w:kern w:val="0"/>
          <w:sz w:val="22"/>
        </w:rPr>
      </w:pPr>
    </w:p>
    <w:p>
      <w:pPr>
        <w:rPr>
          <w:b/>
          <w:bCs/>
          <w:color w:val="7030A0"/>
          <w:kern w:val="44"/>
          <w:sz w:val="32"/>
          <w:szCs w:val="32"/>
        </w:rPr>
      </w:pPr>
    </w:p>
    <w:p>
      <w:pPr>
        <w:rPr>
          <w:b/>
          <w:bCs/>
          <w:color w:val="7030A0"/>
          <w:kern w:val="44"/>
          <w:sz w:val="32"/>
          <w:szCs w:val="32"/>
        </w:rPr>
      </w:pPr>
    </w:p>
    <w:p>
      <w:pPr>
        <w:rPr>
          <w:b/>
          <w:bCs/>
          <w:color w:val="7030A0"/>
          <w:kern w:val="44"/>
          <w:sz w:val="32"/>
          <w:szCs w:val="32"/>
        </w:rPr>
      </w:pPr>
    </w:p>
    <w:p>
      <w:pPr>
        <w:widowControl/>
        <w:spacing w:line="360" w:lineRule="auto"/>
        <w:rPr>
          <w:rFonts w:eastAsiaTheme="minorEastAsia"/>
        </w:rPr>
      </w:pPr>
      <w:bookmarkStart w:id="17" w:name="_Toc24720996"/>
    </w:p>
    <w:bookmarkEnd w:id="17"/>
    <w:p>
      <w:pPr>
        <w:rPr>
          <w:color w:val="942192"/>
          <w:sz w:val="32"/>
          <w:szCs w:val="32"/>
        </w:rPr>
      </w:pPr>
    </w:p>
    <w:p>
      <w:pPr>
        <w:rPr>
          <w:color w:val="942192"/>
          <w:sz w:val="32"/>
          <w:szCs w:val="32"/>
        </w:rPr>
      </w:pPr>
    </w:p>
    <w:p>
      <w:pPr>
        <w:rPr>
          <w:color w:val="942192"/>
          <w:sz w:val="32"/>
          <w:szCs w:val="32"/>
        </w:rPr>
      </w:pPr>
    </w:p>
    <w:p>
      <w:pPr>
        <w:rPr>
          <w:color w:val="942192"/>
          <w:sz w:val="32"/>
          <w:szCs w:val="32"/>
        </w:rPr>
      </w:pPr>
    </w:p>
    <w:p>
      <w:pPr>
        <w:rPr>
          <w:color w:val="942192"/>
          <w:sz w:val="32"/>
          <w:szCs w:val="32"/>
        </w:rPr>
      </w:pPr>
    </w:p>
    <w:p>
      <w:pPr>
        <w:tabs>
          <w:tab w:val="left" w:pos="1942"/>
        </w:tabs>
        <w:ind w:firstLine="440" w:firstLineChars="200"/>
        <w:rPr>
          <w:rFonts w:ascii="宋体" w:hAnsi="宋体" w:cs="宋体"/>
          <w:color w:val="000000"/>
          <w:kern w:val="0"/>
          <w:sz w:val="22"/>
          <w:szCs w:val="22"/>
        </w:rPr>
      </w:pPr>
      <w:bookmarkStart w:id="18" w:name="_Toc24827447"/>
    </w:p>
    <w:p>
      <w:pPr>
        <w:pStyle w:val="2"/>
        <w:jc w:val="center"/>
        <w:rPr>
          <w:color w:val="942192"/>
          <w:sz w:val="32"/>
          <w:szCs w:val="32"/>
        </w:rPr>
      </w:pPr>
      <w:r>
        <w:rPr>
          <w:rFonts w:hint="eastAsia"/>
          <w:color w:val="942192"/>
          <w:sz w:val="32"/>
          <w:szCs w:val="32"/>
        </w:rPr>
        <w:t>天津市工业与应用数学学会第四届理事会名单</w:t>
      </w:r>
      <w:bookmarkEnd w:id="18"/>
    </w:p>
    <w:p>
      <w:pPr>
        <w:rPr>
          <w:sz w:val="28"/>
          <w:szCs w:val="28"/>
        </w:rPr>
      </w:pPr>
      <w:r>
        <w:rPr>
          <w:rFonts w:hint="eastAsia"/>
          <w:b/>
          <w:bCs/>
          <w:sz w:val="28"/>
          <w:szCs w:val="28"/>
        </w:rPr>
        <w:t>名誉理事长：</w:t>
      </w:r>
      <w:r>
        <w:rPr>
          <w:rFonts w:hint="eastAsia"/>
          <w:sz w:val="28"/>
          <w:szCs w:val="28"/>
        </w:rPr>
        <w:t>李学良</w:t>
      </w:r>
    </w:p>
    <w:p>
      <w:pPr>
        <w:rPr>
          <w:sz w:val="28"/>
          <w:szCs w:val="28"/>
        </w:rPr>
      </w:pPr>
      <w:r>
        <w:rPr>
          <w:rFonts w:hint="eastAsia"/>
          <w:sz w:val="28"/>
          <w:szCs w:val="28"/>
        </w:rPr>
        <w:t>（以下按姓氏拼音顺序排列）</w:t>
      </w:r>
    </w:p>
    <w:p>
      <w:pPr>
        <w:rPr>
          <w:sz w:val="28"/>
          <w:szCs w:val="28"/>
        </w:rPr>
      </w:pPr>
      <w:r>
        <w:rPr>
          <w:rFonts w:hint="eastAsia"/>
          <w:b/>
          <w:bCs/>
          <w:sz w:val="28"/>
          <w:szCs w:val="28"/>
        </w:rPr>
        <w:t>理事长：</w:t>
      </w:r>
      <w:r>
        <w:rPr>
          <w:rFonts w:hint="eastAsia"/>
          <w:sz w:val="28"/>
          <w:szCs w:val="28"/>
        </w:rPr>
        <w:t>王兆军</w:t>
      </w:r>
    </w:p>
    <w:p>
      <w:pPr>
        <w:jc w:val="left"/>
        <w:rPr>
          <w:sz w:val="28"/>
          <w:szCs w:val="28"/>
        </w:rPr>
      </w:pPr>
      <w:r>
        <w:rPr>
          <w:rFonts w:hint="eastAsia"/>
          <w:b/>
          <w:bCs/>
          <w:sz w:val="28"/>
          <w:szCs w:val="28"/>
        </w:rPr>
        <w:t>副理事长：</w:t>
      </w:r>
      <w:r>
        <w:rPr>
          <w:rFonts w:hint="eastAsia"/>
          <w:sz w:val="28"/>
          <w:szCs w:val="28"/>
        </w:rPr>
        <w:t>郭  飞 何文章 罗蕴玲 裴永珍 宋眉眉 赵  春</w:t>
      </w:r>
    </w:p>
    <w:p>
      <w:pPr>
        <w:jc w:val="left"/>
        <w:rPr>
          <w:sz w:val="28"/>
          <w:szCs w:val="28"/>
        </w:rPr>
      </w:pPr>
      <w:r>
        <w:rPr>
          <w:rFonts w:hint="eastAsia"/>
          <w:b/>
          <w:bCs/>
          <w:sz w:val="28"/>
          <w:szCs w:val="28"/>
        </w:rPr>
        <w:t>秘书长：</w:t>
      </w:r>
      <w:r>
        <w:rPr>
          <w:rFonts w:hint="eastAsia"/>
          <w:sz w:val="28"/>
          <w:szCs w:val="28"/>
        </w:rPr>
        <w:t>史永堂</w:t>
      </w:r>
    </w:p>
    <w:p>
      <w:pPr>
        <w:jc w:val="left"/>
        <w:rPr>
          <w:sz w:val="28"/>
          <w:szCs w:val="28"/>
        </w:rPr>
      </w:pPr>
      <w:r>
        <w:rPr>
          <w:rFonts w:hint="eastAsia"/>
          <w:b/>
          <w:bCs/>
          <w:sz w:val="28"/>
          <w:szCs w:val="28"/>
        </w:rPr>
        <w:t>常务理事：</w:t>
      </w:r>
      <w:r>
        <w:rPr>
          <w:rFonts w:hint="eastAsia"/>
          <w:sz w:val="28"/>
          <w:szCs w:val="28"/>
        </w:rPr>
        <w:t>（19人）</w:t>
      </w:r>
    </w:p>
    <w:p>
      <w:pPr>
        <w:jc w:val="left"/>
        <w:rPr>
          <w:rFonts w:ascii="Helvetica Neue" w:hAnsi="Helvetica Neue" w:cs="Helvetica Neue"/>
          <w:color w:val="000000"/>
          <w:kern w:val="0"/>
          <w:sz w:val="26"/>
          <w:szCs w:val="26"/>
        </w:rPr>
      </w:pPr>
      <w:r>
        <w:rPr>
          <w:rFonts w:ascii="Helvetica Neue" w:hAnsi="Helvetica Neue" w:cs="Helvetica Neue"/>
          <w:color w:val="000000"/>
          <w:kern w:val="0"/>
          <w:sz w:val="28"/>
          <w:szCs w:val="28"/>
        </w:rPr>
        <w:t>常慧宾 郭  飞 何  华 何文章 冀有虎 李双宝 罗蕴玲 裴永珍</w:t>
      </w:r>
      <w:r>
        <w:rPr>
          <w:rFonts w:hint="eastAsia" w:ascii="Helvetica Neue" w:hAnsi="Helvetica Neue" w:cs="Helvetica Neue"/>
          <w:color w:val="000000"/>
          <w:kern w:val="0"/>
          <w:sz w:val="28"/>
          <w:szCs w:val="28"/>
        </w:rPr>
        <w:t xml:space="preserve"> </w:t>
      </w:r>
      <w:r>
        <w:rPr>
          <w:rFonts w:ascii="Helvetica Neue" w:hAnsi="Helvetica Neue" w:cs="Helvetica Neue"/>
          <w:color w:val="000000"/>
          <w:kern w:val="0"/>
          <w:sz w:val="28"/>
          <w:szCs w:val="28"/>
        </w:rPr>
        <w:t xml:space="preserve">  史永堂 宋眉眉 王兆军</w:t>
      </w:r>
      <w:r>
        <w:rPr>
          <w:rFonts w:hint="eastAsia" w:ascii="Helvetica Neue" w:hAnsi="Helvetica Neue" w:cs="Helvetica Neue"/>
          <w:color w:val="000000"/>
          <w:kern w:val="0"/>
          <w:sz w:val="28"/>
          <w:szCs w:val="28"/>
        </w:rPr>
        <w:t xml:space="preserve"> </w:t>
      </w:r>
      <w:r>
        <w:rPr>
          <w:rFonts w:ascii="Helvetica Neue" w:hAnsi="Helvetica Neue" w:cs="Helvetica Neue"/>
          <w:color w:val="000000"/>
          <w:kern w:val="0"/>
          <w:sz w:val="28"/>
          <w:szCs w:val="28"/>
        </w:rPr>
        <w:t xml:space="preserve">谢冬梅 邢化明 徐  立 姚永红 袁彦东   张  勇 赵  春 </w:t>
      </w:r>
      <w:r>
        <w:rPr>
          <w:rFonts w:ascii="Helvetica Neue" w:hAnsi="Helvetica Neue" w:cs="Helvetica Neue"/>
          <w:color w:val="000000"/>
          <w:kern w:val="0"/>
          <w:sz w:val="26"/>
          <w:szCs w:val="26"/>
        </w:rPr>
        <w:t>邹长亮</w:t>
      </w:r>
    </w:p>
    <w:p>
      <w:pPr>
        <w:jc w:val="left"/>
        <w:rPr>
          <w:b/>
          <w:bCs/>
          <w:sz w:val="28"/>
          <w:szCs w:val="28"/>
        </w:rPr>
      </w:pPr>
      <w:r>
        <w:rPr>
          <w:rFonts w:hint="eastAsia"/>
          <w:b/>
          <w:bCs/>
          <w:sz w:val="28"/>
          <w:szCs w:val="28"/>
        </w:rPr>
        <w:t>理事：（6</w:t>
      </w:r>
      <w:r>
        <w:rPr>
          <w:b/>
          <w:bCs/>
          <w:sz w:val="28"/>
          <w:szCs w:val="28"/>
        </w:rPr>
        <w:t>1</w:t>
      </w:r>
      <w:r>
        <w:rPr>
          <w:rFonts w:hint="eastAsia"/>
          <w:b/>
          <w:bCs/>
          <w:sz w:val="28"/>
          <w:szCs w:val="28"/>
        </w:rPr>
        <w:t>人）</w:t>
      </w:r>
    </w:p>
    <w:p>
      <w:pPr>
        <w:jc w:val="left"/>
        <w:rPr>
          <w:sz w:val="28"/>
          <w:szCs w:val="28"/>
        </w:rPr>
      </w:pPr>
      <w:r>
        <w:rPr>
          <w:rFonts w:hint="eastAsia"/>
          <w:sz w:val="28"/>
          <w:szCs w:val="28"/>
        </w:rPr>
        <w:t xml:space="preserve">安 </w:t>
      </w:r>
      <w:r>
        <w:rPr>
          <w:sz w:val="28"/>
          <w:szCs w:val="28"/>
        </w:rPr>
        <w:t xml:space="preserve"> </w:t>
      </w:r>
      <w:r>
        <w:rPr>
          <w:rFonts w:hint="eastAsia"/>
          <w:sz w:val="28"/>
          <w:szCs w:val="28"/>
        </w:rPr>
        <w:t xml:space="preserve">彤 常慧宾 董巧丽 房  宏 高文杰 苟长义 谷珊珊 郭 </w:t>
      </w:r>
      <w:r>
        <w:rPr>
          <w:sz w:val="28"/>
          <w:szCs w:val="28"/>
        </w:rPr>
        <w:t xml:space="preserve"> </w:t>
      </w:r>
      <w:r>
        <w:rPr>
          <w:rFonts w:hint="eastAsia"/>
          <w:sz w:val="28"/>
          <w:szCs w:val="28"/>
        </w:rPr>
        <w:t xml:space="preserve">飞 </w:t>
      </w:r>
    </w:p>
    <w:p>
      <w:pPr>
        <w:jc w:val="left"/>
        <w:rPr>
          <w:sz w:val="28"/>
          <w:szCs w:val="28"/>
        </w:rPr>
      </w:pPr>
      <w:r>
        <w:rPr>
          <w:rFonts w:hint="eastAsia"/>
          <w:sz w:val="28"/>
          <w:szCs w:val="28"/>
        </w:rPr>
        <w:t>郭永峰 韩忠杰 何  华 何文章 胡志广 黄申为 黄旭剑 冀有虎</w:t>
      </w:r>
    </w:p>
    <w:p>
      <w:pPr>
        <w:jc w:val="left"/>
        <w:rPr>
          <w:sz w:val="28"/>
          <w:szCs w:val="28"/>
        </w:rPr>
      </w:pPr>
      <w:r>
        <w:rPr>
          <w:rFonts w:hint="eastAsia"/>
          <w:sz w:val="28"/>
          <w:szCs w:val="28"/>
        </w:rPr>
        <w:t xml:space="preserve">靳永山 孔庆军 李冰清 李晶洁 李茂林 李啟培 李双宝 刘贵贤 </w:t>
      </w:r>
      <w:r>
        <w:rPr>
          <w:sz w:val="28"/>
          <w:szCs w:val="28"/>
        </w:rPr>
        <w:t xml:space="preserve"> </w:t>
      </w:r>
      <w:r>
        <w:rPr>
          <w:rFonts w:hint="eastAsia"/>
          <w:sz w:val="28"/>
          <w:szCs w:val="28"/>
        </w:rPr>
        <w:t xml:space="preserve"> 刘 </w:t>
      </w:r>
      <w:r>
        <w:rPr>
          <w:sz w:val="28"/>
          <w:szCs w:val="28"/>
        </w:rPr>
        <w:t xml:space="preserve"> </w:t>
      </w:r>
      <w:r>
        <w:rPr>
          <w:rFonts w:hint="eastAsia"/>
          <w:sz w:val="28"/>
          <w:szCs w:val="28"/>
        </w:rPr>
        <w:t xml:space="preserve">华 刘 </w:t>
      </w:r>
      <w:r>
        <w:rPr>
          <w:sz w:val="28"/>
          <w:szCs w:val="28"/>
        </w:rPr>
        <w:t xml:space="preserve"> </w:t>
      </w:r>
      <w:r>
        <w:rPr>
          <w:rFonts w:hint="eastAsia"/>
          <w:sz w:val="28"/>
          <w:szCs w:val="28"/>
        </w:rPr>
        <w:t xml:space="preserve">伟 罗蕴玲 孟祥波 裴永珍 史永堂 宋眉眉 孙福芹 </w:t>
      </w:r>
      <w:r>
        <w:rPr>
          <w:sz w:val="28"/>
          <w:szCs w:val="28"/>
        </w:rPr>
        <w:t xml:space="preserve">  </w:t>
      </w:r>
      <w:r>
        <w:rPr>
          <w:rFonts w:hint="eastAsia"/>
          <w:sz w:val="28"/>
          <w:szCs w:val="28"/>
        </w:rPr>
        <w:t xml:space="preserve">孙 </w:t>
      </w:r>
      <w:r>
        <w:rPr>
          <w:sz w:val="28"/>
          <w:szCs w:val="28"/>
        </w:rPr>
        <w:t xml:space="preserve"> </w:t>
      </w:r>
      <w:r>
        <w:rPr>
          <w:rFonts w:hint="eastAsia"/>
          <w:sz w:val="28"/>
          <w:szCs w:val="28"/>
        </w:rPr>
        <w:t>瑶</w:t>
      </w:r>
      <w:r>
        <w:rPr>
          <w:sz w:val="28"/>
          <w:szCs w:val="28"/>
        </w:rPr>
        <w:t xml:space="preserve"> </w:t>
      </w:r>
      <w:r>
        <w:rPr>
          <w:rFonts w:hint="eastAsia"/>
          <w:sz w:val="28"/>
          <w:szCs w:val="28"/>
        </w:rPr>
        <w:t xml:space="preserve">孙自强 唐文广 仝策中 王翠芳 王 </w:t>
      </w:r>
      <w:r>
        <w:rPr>
          <w:sz w:val="28"/>
          <w:szCs w:val="28"/>
        </w:rPr>
        <w:t xml:space="preserve"> </w:t>
      </w:r>
      <w:r>
        <w:rPr>
          <w:rFonts w:hint="eastAsia"/>
          <w:sz w:val="28"/>
          <w:szCs w:val="28"/>
        </w:rPr>
        <w:t xml:space="preserve">红 王金环 王秋琳 </w:t>
      </w:r>
      <w:r>
        <w:rPr>
          <w:sz w:val="28"/>
          <w:szCs w:val="28"/>
        </w:rPr>
        <w:t xml:space="preserve">  </w:t>
      </w:r>
      <w:r>
        <w:rPr>
          <w:rFonts w:hint="eastAsia"/>
          <w:sz w:val="28"/>
          <w:szCs w:val="28"/>
        </w:rPr>
        <w:t xml:space="preserve">王瑞东 王同科 王 </w:t>
      </w:r>
      <w:r>
        <w:rPr>
          <w:sz w:val="28"/>
          <w:szCs w:val="28"/>
        </w:rPr>
        <w:t xml:space="preserve"> </w:t>
      </w:r>
      <w:r>
        <w:rPr>
          <w:rFonts w:hint="eastAsia"/>
          <w:sz w:val="28"/>
          <w:szCs w:val="28"/>
        </w:rPr>
        <w:t>武 王友雨 王兆军 吴春林 夏承遗 谢冬梅</w:t>
      </w:r>
    </w:p>
    <w:p>
      <w:pPr>
        <w:jc w:val="left"/>
        <w:rPr>
          <w:sz w:val="28"/>
          <w:szCs w:val="28"/>
        </w:rPr>
      </w:pPr>
      <w:r>
        <w:rPr>
          <w:rFonts w:hint="eastAsia"/>
          <w:sz w:val="28"/>
          <w:szCs w:val="28"/>
        </w:rPr>
        <w:t xml:space="preserve">邢化明 徐 </w:t>
      </w:r>
      <w:r>
        <w:rPr>
          <w:sz w:val="28"/>
          <w:szCs w:val="28"/>
        </w:rPr>
        <w:t xml:space="preserve"> </w:t>
      </w:r>
      <w:r>
        <w:rPr>
          <w:rFonts w:hint="eastAsia"/>
          <w:sz w:val="28"/>
          <w:szCs w:val="28"/>
        </w:rPr>
        <w:t xml:space="preserve">立 杨建益 姚永红 袁彦东 张立东 张 </w:t>
      </w:r>
      <w:r>
        <w:rPr>
          <w:sz w:val="28"/>
          <w:szCs w:val="28"/>
        </w:rPr>
        <w:t xml:space="preserve"> </w:t>
      </w:r>
      <w:r>
        <w:rPr>
          <w:rFonts w:hint="eastAsia"/>
          <w:sz w:val="28"/>
          <w:szCs w:val="28"/>
        </w:rPr>
        <w:t xml:space="preserve">勇 赵 </w:t>
      </w:r>
      <w:r>
        <w:rPr>
          <w:sz w:val="28"/>
          <w:szCs w:val="28"/>
        </w:rPr>
        <w:t xml:space="preserve"> </w:t>
      </w:r>
      <w:r>
        <w:rPr>
          <w:rFonts w:hint="eastAsia"/>
          <w:sz w:val="28"/>
          <w:szCs w:val="28"/>
        </w:rPr>
        <w:t xml:space="preserve">春 </w:t>
      </w:r>
      <w:r>
        <w:rPr>
          <w:sz w:val="28"/>
          <w:szCs w:val="28"/>
        </w:rPr>
        <w:t xml:space="preserve">  </w:t>
      </w:r>
      <w:r>
        <w:rPr>
          <w:rFonts w:hint="eastAsia"/>
          <w:sz w:val="28"/>
          <w:szCs w:val="28"/>
        </w:rPr>
        <w:t xml:space="preserve">赵 </w:t>
      </w:r>
      <w:r>
        <w:rPr>
          <w:sz w:val="28"/>
          <w:szCs w:val="28"/>
        </w:rPr>
        <w:t xml:space="preserve"> </w:t>
      </w:r>
      <w:r>
        <w:rPr>
          <w:rFonts w:hint="eastAsia"/>
          <w:sz w:val="28"/>
          <w:szCs w:val="28"/>
        </w:rPr>
        <w:t xml:space="preserve">慧 赵 </w:t>
      </w:r>
      <w:r>
        <w:rPr>
          <w:sz w:val="28"/>
          <w:szCs w:val="28"/>
        </w:rPr>
        <w:t xml:space="preserve"> </w:t>
      </w:r>
      <w:r>
        <w:rPr>
          <w:rFonts w:hint="eastAsia"/>
          <w:sz w:val="28"/>
          <w:szCs w:val="28"/>
        </w:rPr>
        <w:t>静 赵凯芳 周永道 邹长亮</w:t>
      </w:r>
    </w:p>
    <w:p>
      <w:pPr>
        <w:widowControl/>
        <w:rPr>
          <w:rFonts w:hint="eastAsia" w:ascii="-webkit-standard" w:hAnsi="-webkit-standard" w:cs="宋体"/>
          <w:b/>
          <w:bCs/>
          <w:color w:val="942192"/>
          <w:kern w:val="0"/>
          <w:sz w:val="32"/>
          <w:szCs w:val="32"/>
        </w:rPr>
      </w:pPr>
    </w:p>
    <w:sectPr>
      <w:footerReference r:id="rId6" w:type="default"/>
      <w:type w:val="continuous"/>
      <w:pgSz w:w="11906" w:h="16838"/>
      <w:pgMar w:top="1089" w:right="1797" w:bottom="1247"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TKaiti">
    <w:altName w:val="宋体"/>
    <w:panose1 w:val="00000000000000000000"/>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 w:name="Helvetica Neue">
    <w:altName w:val="Sylfaen"/>
    <w:panose1 w:val="00000000000000000000"/>
    <w:charset w:val="00"/>
    <w:family w:val="auto"/>
    <w:pitch w:val="default"/>
    <w:sig w:usb0="00000000" w:usb1="00000000" w:usb2="00000010" w:usb3="00000000" w:csb0="00000001" w:csb1="00000000"/>
  </w:font>
  <w:font w:name="-webkit-standard">
    <w:altName w:val="Cambria"/>
    <w:panose1 w:val="00000000000000000000"/>
    <w:charset w:val="00"/>
    <w:family w:val="roman"/>
    <w:pitch w:val="default"/>
    <w:sig w:usb0="00000000" w:usb1="00000000" w:usb2="00000000" w:usb3="00000000" w:csb0="00000000" w:csb1="00000000"/>
  </w:font>
  <w:font w:name="Sylfaen">
    <w:panose1 w:val="010A0502050306030303"/>
    <w:charset w:val="00"/>
    <w:family w:val="auto"/>
    <w:pitch w:val="default"/>
    <w:sig w:usb0="04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rPr>
        <w:rStyle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20"/>
      </w:rPr>
    </w:pPr>
    <w:r>
      <w:rPr>
        <w:rStyle w:val="20"/>
      </w:rPr>
      <w:fldChar w:fldCharType="begin"/>
    </w:r>
    <w:r>
      <w:rPr>
        <w:rStyle w:val="20"/>
      </w:rPr>
      <w:instrText xml:space="preserve"> PAGE </w:instrText>
    </w:r>
    <w:r>
      <w:rPr>
        <w:rStyle w:val="20"/>
      </w:rP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OYf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3o0UxhR5evXy7ffly+fybwgaDW+gXydhaZoXttOiSPfg9nnLur&#10;nIpfTEQQB9b5Sq/oAuHx0nw2n+cIccTGH+BnT9et8+GNMIpEo6AO+0u0stPWhz51TInVtNk0UqYd&#10;Sk3agt68fJWnC9cIwKVGjThE32y0Qrfvhsn2pjxjMGd6bXjLNw2Kb5kPj8xBDGgYAg8POCppUMQM&#10;FiW1cZ/+5o/52BGilLQQV0E11E+JfKuxOwCG0XCjsR8NfVR3Bmqd4uFYn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ss5h/A4CAAAJBAAADgAAAAAAAAABACAAAAAf&#10;AQAAZHJzL2Uyb0RvYy54bWxQSwUGAAAAAAYABgBZAQAAnw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pPr>
      <w:pStyle w:val="9"/>
      <w:rPr>
        <w:rStyle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ascii="Microsoft YaHei UI" w:hAnsi="Microsoft YaHei UI"/>
      </w:rPr>
    </w:pPr>
    <w:r>
      <w:rPr>
        <w:rFonts w:hint="eastAsia" w:ascii="Microsoft YaHei UI" w:hAnsi="Microsoft YaHei UI"/>
      </w:rPr>
      <w:t>天津市工业与应用数学学会简报</w:t>
    </w:r>
    <w:r>
      <w:rPr>
        <w:rFonts w:ascii="Microsoft YaHei UI" w:hAnsi="Microsoft YaHei UI"/>
      </w:rPr>
      <w:tab/>
    </w:r>
    <w:r>
      <w:rPr>
        <w:rFonts w:ascii="Microsoft YaHei UI" w:hAnsi="Microsoft YaHei UI"/>
      </w:rPr>
      <w:tab/>
    </w:r>
    <w:r>
      <w:rPr>
        <w:rFonts w:ascii="Microsoft YaHei UI" w:hAnsi="Microsoft YaHei UI"/>
      </w:rPr>
      <w:t>2019</w:t>
    </w:r>
    <w:r>
      <w:rPr>
        <w:rFonts w:hint="eastAsia" w:ascii="Microsoft YaHei UI" w:hAnsi="Microsoft YaHei UI"/>
      </w:rPr>
      <w:t>年第一期（总第</w:t>
    </w:r>
    <w:r>
      <w:rPr>
        <w:rFonts w:ascii="Microsoft YaHei UI" w:hAnsi="Microsoft YaHei UI"/>
      </w:rPr>
      <w:t>1</w:t>
    </w:r>
    <w:r>
      <w:rPr>
        <w:rFonts w:hint="eastAsia" w:ascii="Microsoft YaHei UI" w:hAnsi="Microsoft YaHei UI"/>
      </w:rPr>
      <w:t>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4C"/>
    <w:rsid w:val="00000F06"/>
    <w:rsid w:val="000204FE"/>
    <w:rsid w:val="000208E9"/>
    <w:rsid w:val="000246B5"/>
    <w:rsid w:val="00031007"/>
    <w:rsid w:val="000526FD"/>
    <w:rsid w:val="000552E3"/>
    <w:rsid w:val="000663D0"/>
    <w:rsid w:val="000713B0"/>
    <w:rsid w:val="000B11D7"/>
    <w:rsid w:val="000B5B16"/>
    <w:rsid w:val="000B7DD8"/>
    <w:rsid w:val="000C00F9"/>
    <w:rsid w:val="000D26B9"/>
    <w:rsid w:val="000F2A5A"/>
    <w:rsid w:val="000F7937"/>
    <w:rsid w:val="00134D84"/>
    <w:rsid w:val="00144B9C"/>
    <w:rsid w:val="00166D43"/>
    <w:rsid w:val="00167E8C"/>
    <w:rsid w:val="00171B72"/>
    <w:rsid w:val="00172A27"/>
    <w:rsid w:val="00185B1D"/>
    <w:rsid w:val="001A1BFD"/>
    <w:rsid w:val="001A6CB1"/>
    <w:rsid w:val="001B4772"/>
    <w:rsid w:val="001D5AA6"/>
    <w:rsid w:val="001D61B6"/>
    <w:rsid w:val="00201781"/>
    <w:rsid w:val="0023029A"/>
    <w:rsid w:val="00230F58"/>
    <w:rsid w:val="0023269C"/>
    <w:rsid w:val="0023384B"/>
    <w:rsid w:val="00235456"/>
    <w:rsid w:val="00287987"/>
    <w:rsid w:val="002935A6"/>
    <w:rsid w:val="002A43AB"/>
    <w:rsid w:val="002B4741"/>
    <w:rsid w:val="002C10AA"/>
    <w:rsid w:val="002D3769"/>
    <w:rsid w:val="002D6B41"/>
    <w:rsid w:val="002D75D6"/>
    <w:rsid w:val="002E3C25"/>
    <w:rsid w:val="002F11F9"/>
    <w:rsid w:val="0030351A"/>
    <w:rsid w:val="00306511"/>
    <w:rsid w:val="0033195F"/>
    <w:rsid w:val="00341548"/>
    <w:rsid w:val="003A6E38"/>
    <w:rsid w:val="003B5E59"/>
    <w:rsid w:val="003B6956"/>
    <w:rsid w:val="003E327A"/>
    <w:rsid w:val="003F303B"/>
    <w:rsid w:val="004031A7"/>
    <w:rsid w:val="00423412"/>
    <w:rsid w:val="00461363"/>
    <w:rsid w:val="0046270A"/>
    <w:rsid w:val="00465C70"/>
    <w:rsid w:val="0046673F"/>
    <w:rsid w:val="004A2103"/>
    <w:rsid w:val="004C6BE8"/>
    <w:rsid w:val="004E2FDD"/>
    <w:rsid w:val="004E6D38"/>
    <w:rsid w:val="0053017E"/>
    <w:rsid w:val="0054101C"/>
    <w:rsid w:val="0055461E"/>
    <w:rsid w:val="0056027B"/>
    <w:rsid w:val="00571E81"/>
    <w:rsid w:val="0058074B"/>
    <w:rsid w:val="005819C7"/>
    <w:rsid w:val="005B1B04"/>
    <w:rsid w:val="005B4A25"/>
    <w:rsid w:val="0060105C"/>
    <w:rsid w:val="00601DA4"/>
    <w:rsid w:val="00607258"/>
    <w:rsid w:val="0063050F"/>
    <w:rsid w:val="0063753F"/>
    <w:rsid w:val="00680114"/>
    <w:rsid w:val="006A000E"/>
    <w:rsid w:val="006A1DCC"/>
    <w:rsid w:val="006B3A1B"/>
    <w:rsid w:val="006D41DA"/>
    <w:rsid w:val="007315B2"/>
    <w:rsid w:val="00732C46"/>
    <w:rsid w:val="00742EF5"/>
    <w:rsid w:val="00753D43"/>
    <w:rsid w:val="00766F19"/>
    <w:rsid w:val="00775E91"/>
    <w:rsid w:val="00795588"/>
    <w:rsid w:val="007D70E5"/>
    <w:rsid w:val="00807A8E"/>
    <w:rsid w:val="00815CCB"/>
    <w:rsid w:val="008211DF"/>
    <w:rsid w:val="0082165F"/>
    <w:rsid w:val="00822EA5"/>
    <w:rsid w:val="0082735D"/>
    <w:rsid w:val="0083219D"/>
    <w:rsid w:val="0083627E"/>
    <w:rsid w:val="00855B4C"/>
    <w:rsid w:val="00880B0F"/>
    <w:rsid w:val="0088581E"/>
    <w:rsid w:val="008B01D9"/>
    <w:rsid w:val="008B6403"/>
    <w:rsid w:val="008E59F8"/>
    <w:rsid w:val="008E6BC9"/>
    <w:rsid w:val="008E6C68"/>
    <w:rsid w:val="008E795F"/>
    <w:rsid w:val="00922722"/>
    <w:rsid w:val="00947BDE"/>
    <w:rsid w:val="00947FD9"/>
    <w:rsid w:val="00963B5A"/>
    <w:rsid w:val="009640D8"/>
    <w:rsid w:val="0096485C"/>
    <w:rsid w:val="009A5015"/>
    <w:rsid w:val="009D026C"/>
    <w:rsid w:val="009E3CC7"/>
    <w:rsid w:val="009F3D9A"/>
    <w:rsid w:val="00A06CFE"/>
    <w:rsid w:val="00A65812"/>
    <w:rsid w:val="00A7778A"/>
    <w:rsid w:val="00A951EB"/>
    <w:rsid w:val="00AA5E91"/>
    <w:rsid w:val="00AD3A5F"/>
    <w:rsid w:val="00B23A9A"/>
    <w:rsid w:val="00B51F56"/>
    <w:rsid w:val="00B5544D"/>
    <w:rsid w:val="00B55B4C"/>
    <w:rsid w:val="00B66283"/>
    <w:rsid w:val="00B72D92"/>
    <w:rsid w:val="00BA1146"/>
    <w:rsid w:val="00BB5248"/>
    <w:rsid w:val="00BC0569"/>
    <w:rsid w:val="00C21177"/>
    <w:rsid w:val="00C2799E"/>
    <w:rsid w:val="00C42545"/>
    <w:rsid w:val="00C817CF"/>
    <w:rsid w:val="00C94BE5"/>
    <w:rsid w:val="00CA7C5B"/>
    <w:rsid w:val="00CB4304"/>
    <w:rsid w:val="00CE0161"/>
    <w:rsid w:val="00CE410F"/>
    <w:rsid w:val="00CF3DDA"/>
    <w:rsid w:val="00CF77B3"/>
    <w:rsid w:val="00D02FC5"/>
    <w:rsid w:val="00D371BA"/>
    <w:rsid w:val="00D37702"/>
    <w:rsid w:val="00D46718"/>
    <w:rsid w:val="00D719E5"/>
    <w:rsid w:val="00DA5BAF"/>
    <w:rsid w:val="00DF0B3F"/>
    <w:rsid w:val="00DF1568"/>
    <w:rsid w:val="00DF5F8A"/>
    <w:rsid w:val="00DF72C3"/>
    <w:rsid w:val="00E02EED"/>
    <w:rsid w:val="00E06765"/>
    <w:rsid w:val="00E27C64"/>
    <w:rsid w:val="00E51244"/>
    <w:rsid w:val="00E56025"/>
    <w:rsid w:val="00E840E8"/>
    <w:rsid w:val="00EB02A6"/>
    <w:rsid w:val="00EB16AE"/>
    <w:rsid w:val="00EC6CC1"/>
    <w:rsid w:val="00EC7894"/>
    <w:rsid w:val="00ED29D2"/>
    <w:rsid w:val="00F00827"/>
    <w:rsid w:val="00F407E8"/>
    <w:rsid w:val="00F44BB8"/>
    <w:rsid w:val="00F51EDA"/>
    <w:rsid w:val="00F62CCB"/>
    <w:rsid w:val="00F830BD"/>
    <w:rsid w:val="00F91111"/>
    <w:rsid w:val="00F92B1E"/>
    <w:rsid w:val="00FA3910"/>
    <w:rsid w:val="00FA4699"/>
    <w:rsid w:val="00FA5209"/>
    <w:rsid w:val="00FB6082"/>
    <w:rsid w:val="00FC68C0"/>
    <w:rsid w:val="00FC7948"/>
    <w:rsid w:val="041E02EC"/>
    <w:rsid w:val="0CC32DDB"/>
    <w:rsid w:val="0CD16565"/>
    <w:rsid w:val="1295313C"/>
    <w:rsid w:val="162F178E"/>
    <w:rsid w:val="1878661B"/>
    <w:rsid w:val="1A780C87"/>
    <w:rsid w:val="1E8B14C6"/>
    <w:rsid w:val="1EB57EB0"/>
    <w:rsid w:val="1FC84E0D"/>
    <w:rsid w:val="20721A12"/>
    <w:rsid w:val="22C40A22"/>
    <w:rsid w:val="23B426AC"/>
    <w:rsid w:val="27E67E61"/>
    <w:rsid w:val="2B136F64"/>
    <w:rsid w:val="2CE51F1D"/>
    <w:rsid w:val="2E006A74"/>
    <w:rsid w:val="2E84005D"/>
    <w:rsid w:val="2E9E6883"/>
    <w:rsid w:val="33456035"/>
    <w:rsid w:val="358E692B"/>
    <w:rsid w:val="374D42F4"/>
    <w:rsid w:val="381235FB"/>
    <w:rsid w:val="38D43510"/>
    <w:rsid w:val="3B5550B2"/>
    <w:rsid w:val="3C597A50"/>
    <w:rsid w:val="3C694659"/>
    <w:rsid w:val="3CED33ED"/>
    <w:rsid w:val="3D7D29C7"/>
    <w:rsid w:val="40883134"/>
    <w:rsid w:val="41A00331"/>
    <w:rsid w:val="42821316"/>
    <w:rsid w:val="442E52FD"/>
    <w:rsid w:val="4433264A"/>
    <w:rsid w:val="44F0381A"/>
    <w:rsid w:val="49A4324A"/>
    <w:rsid w:val="4D1C16D3"/>
    <w:rsid w:val="55951A4D"/>
    <w:rsid w:val="56026DCF"/>
    <w:rsid w:val="57D162A5"/>
    <w:rsid w:val="5BF15F62"/>
    <w:rsid w:val="5FA750AA"/>
    <w:rsid w:val="623C1320"/>
    <w:rsid w:val="66FF7426"/>
    <w:rsid w:val="6A0E669C"/>
    <w:rsid w:val="6C283DBB"/>
    <w:rsid w:val="71DA5F23"/>
    <w:rsid w:val="75801D9C"/>
    <w:rsid w:val="763021E1"/>
    <w:rsid w:val="763F021E"/>
    <w:rsid w:val="7698630A"/>
    <w:rsid w:val="77297380"/>
    <w:rsid w:val="77932044"/>
    <w:rsid w:val="79CD62B2"/>
    <w:rsid w:val="7A6C61DC"/>
    <w:rsid w:val="7BBC50BA"/>
    <w:rsid w:val="7EA27CE6"/>
    <w:rsid w:val="7EB91211"/>
    <w:rsid w:val="7EBA7B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Cambria" w:hAnsi="Cambria"/>
      <w:b/>
      <w:bCs/>
      <w:sz w:val="32"/>
      <w:szCs w:val="32"/>
    </w:rPr>
  </w:style>
  <w:style w:type="character" w:default="1" w:styleId="18">
    <w:name w:val="Default Paragraph Font"/>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1260"/>
      <w:jc w:val="left"/>
    </w:pPr>
    <w:rPr>
      <w:rFonts w:asciiTheme="minorHAnsi" w:eastAsiaTheme="minorHAnsi"/>
      <w:sz w:val="18"/>
      <w:szCs w:val="18"/>
    </w:rPr>
  </w:style>
  <w:style w:type="paragraph" w:styleId="5">
    <w:name w:val="toc 5"/>
    <w:basedOn w:val="1"/>
    <w:next w:val="1"/>
    <w:unhideWhenUsed/>
    <w:qFormat/>
    <w:uiPriority w:val="39"/>
    <w:pPr>
      <w:ind w:left="840"/>
      <w:jc w:val="left"/>
    </w:pPr>
    <w:rPr>
      <w:rFonts w:asciiTheme="minorHAnsi" w:eastAsiaTheme="minorHAnsi"/>
      <w:sz w:val="18"/>
      <w:szCs w:val="18"/>
    </w:rPr>
  </w:style>
  <w:style w:type="paragraph" w:styleId="6">
    <w:name w:val="toc 3"/>
    <w:basedOn w:val="1"/>
    <w:next w:val="1"/>
    <w:unhideWhenUsed/>
    <w:qFormat/>
    <w:uiPriority w:val="39"/>
    <w:pPr>
      <w:ind w:left="420"/>
      <w:jc w:val="left"/>
    </w:pPr>
    <w:rPr>
      <w:rFonts w:asciiTheme="minorHAnsi" w:eastAsiaTheme="minorHAnsi"/>
      <w:i/>
      <w:iCs/>
      <w:sz w:val="20"/>
      <w:szCs w:val="20"/>
    </w:rPr>
  </w:style>
  <w:style w:type="paragraph" w:styleId="7">
    <w:name w:val="toc 8"/>
    <w:basedOn w:val="1"/>
    <w:next w:val="1"/>
    <w:unhideWhenUsed/>
    <w:qFormat/>
    <w:uiPriority w:val="39"/>
    <w:pPr>
      <w:ind w:left="1470"/>
      <w:jc w:val="left"/>
    </w:pPr>
    <w:rPr>
      <w:rFonts w:asciiTheme="minorHAnsi" w:eastAsiaTheme="minorHAnsi"/>
      <w:sz w:val="18"/>
      <w:szCs w:val="18"/>
    </w:rPr>
  </w:style>
  <w:style w:type="paragraph" w:styleId="8">
    <w:name w:val="Date"/>
    <w:basedOn w:val="1"/>
    <w:next w:val="1"/>
    <w:link w:val="42"/>
    <w:semiHidden/>
    <w:unhideWhenUsed/>
    <w:uiPriority w:val="99"/>
    <w:pPr>
      <w:ind w:left="100" w:leftChars="2500"/>
    </w:pPr>
  </w:style>
  <w:style w:type="paragraph" w:styleId="9">
    <w:name w:val="footer"/>
    <w:basedOn w:val="1"/>
    <w:link w:val="41"/>
    <w:qFormat/>
    <w:uiPriority w:val="99"/>
    <w:pPr>
      <w:tabs>
        <w:tab w:val="center" w:pos="4153"/>
        <w:tab w:val="right" w:pos="8306"/>
      </w:tabs>
      <w:snapToGrid w:val="0"/>
      <w:jc w:val="left"/>
    </w:pPr>
    <w:rPr>
      <w:sz w:val="18"/>
      <w:szCs w:val="18"/>
    </w:rPr>
  </w:style>
  <w:style w:type="paragraph" w:styleId="10">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2">
    <w:name w:val="toc 4"/>
    <w:basedOn w:val="1"/>
    <w:next w:val="1"/>
    <w:unhideWhenUsed/>
    <w:qFormat/>
    <w:uiPriority w:val="39"/>
    <w:pPr>
      <w:ind w:left="630"/>
      <w:jc w:val="left"/>
    </w:pPr>
    <w:rPr>
      <w:rFonts w:asciiTheme="minorHAnsi" w:eastAsiaTheme="minorHAnsi"/>
      <w:sz w:val="18"/>
      <w:szCs w:val="18"/>
    </w:rPr>
  </w:style>
  <w:style w:type="paragraph" w:styleId="13">
    <w:name w:val="toc 6"/>
    <w:basedOn w:val="1"/>
    <w:next w:val="1"/>
    <w:unhideWhenUsed/>
    <w:qFormat/>
    <w:uiPriority w:val="39"/>
    <w:pPr>
      <w:ind w:left="1050"/>
      <w:jc w:val="left"/>
    </w:pPr>
    <w:rPr>
      <w:rFonts w:asciiTheme="minorHAnsi" w:eastAsiaTheme="minorHAnsi"/>
      <w:sz w:val="18"/>
      <w:szCs w:val="18"/>
    </w:rPr>
  </w:style>
  <w:style w:type="paragraph" w:styleId="14">
    <w:name w:val="toc 2"/>
    <w:basedOn w:val="1"/>
    <w:next w:val="1"/>
    <w:unhideWhenUsed/>
    <w:qFormat/>
    <w:uiPriority w:val="39"/>
    <w:pPr>
      <w:ind w:left="210"/>
      <w:jc w:val="left"/>
    </w:pPr>
    <w:rPr>
      <w:rFonts w:asciiTheme="minorHAnsi" w:eastAsiaTheme="minorHAnsi"/>
      <w:smallCaps/>
      <w:sz w:val="20"/>
      <w:szCs w:val="20"/>
    </w:rPr>
  </w:style>
  <w:style w:type="paragraph" w:styleId="15">
    <w:name w:val="toc 9"/>
    <w:basedOn w:val="1"/>
    <w:next w:val="1"/>
    <w:unhideWhenUsed/>
    <w:qFormat/>
    <w:uiPriority w:val="39"/>
    <w:pPr>
      <w:ind w:left="1680"/>
      <w:jc w:val="left"/>
    </w:pPr>
    <w:rPr>
      <w:rFonts w:asciiTheme="minorHAnsi" w:eastAsiaTheme="minorHAnsi"/>
      <w:sz w:val="18"/>
      <w:szCs w:val="18"/>
    </w:rPr>
  </w:style>
  <w:style w:type="paragraph" w:styleId="16">
    <w:name w:val="Normal (Web)"/>
    <w:basedOn w:val="1"/>
    <w:qFormat/>
    <w:uiPriority w:val="99"/>
    <w:pPr>
      <w:widowControl/>
      <w:spacing w:before="75" w:after="100" w:afterAutospacing="1"/>
      <w:jc w:val="left"/>
    </w:pPr>
    <w:rPr>
      <w:rFonts w:ascii="宋体" w:hAnsi="宋体" w:cs="宋体"/>
      <w:kern w:val="0"/>
      <w:sz w:val="24"/>
    </w:rPr>
  </w:style>
  <w:style w:type="character" w:styleId="19">
    <w:name w:val="Strong"/>
    <w:qFormat/>
    <w:uiPriority w:val="0"/>
    <w:rPr>
      <w:rFonts w:cs="Times New Roman"/>
      <w:b/>
      <w:bCs/>
    </w:rPr>
  </w:style>
  <w:style w:type="character" w:styleId="20">
    <w:name w:val="page number"/>
    <w:basedOn w:val="18"/>
    <w:semiHidden/>
    <w:unhideWhenUsed/>
    <w:qFormat/>
    <w:uiPriority w:val="99"/>
  </w:style>
  <w:style w:type="character" w:styleId="21">
    <w:name w:val="FollowedHyperlink"/>
    <w:basedOn w:val="18"/>
    <w:semiHidden/>
    <w:unhideWhenUsed/>
    <w:qFormat/>
    <w:uiPriority w:val="99"/>
    <w:rPr>
      <w:color w:val="954F72" w:themeColor="followedHyperlink"/>
      <w:u w:val="single"/>
      <w14:textFill>
        <w14:solidFill>
          <w14:schemeClr w14:val="folHlink"/>
        </w14:solidFill>
      </w14:textFill>
    </w:rPr>
  </w:style>
  <w:style w:type="character" w:styleId="22">
    <w:name w:val="HTML Definition"/>
    <w:basedOn w:val="18"/>
    <w:semiHidden/>
    <w:unhideWhenUsed/>
    <w:qFormat/>
    <w:uiPriority w:val="99"/>
    <w:rPr>
      <w:i/>
    </w:rPr>
  </w:style>
  <w:style w:type="character" w:styleId="23">
    <w:name w:val="Hyperlink"/>
    <w:basedOn w:val="18"/>
    <w:unhideWhenUsed/>
    <w:qFormat/>
    <w:uiPriority w:val="99"/>
    <w:rPr>
      <w:color w:val="0563C1"/>
      <w:u w:val="single"/>
    </w:rPr>
  </w:style>
  <w:style w:type="character" w:styleId="24">
    <w:name w:val="HTML Code"/>
    <w:basedOn w:val="18"/>
    <w:semiHidden/>
    <w:unhideWhenUsed/>
    <w:qFormat/>
    <w:uiPriority w:val="99"/>
    <w:rPr>
      <w:rFonts w:ascii="Consolas" w:hAnsi="Consolas" w:eastAsia="Consolas" w:cs="Consolas"/>
      <w:color w:val="C7254E"/>
      <w:sz w:val="21"/>
      <w:szCs w:val="21"/>
      <w:shd w:val="clear" w:color="auto" w:fill="F9F2F4"/>
    </w:rPr>
  </w:style>
  <w:style w:type="character" w:styleId="25">
    <w:name w:val="HTML Keyboard"/>
    <w:basedOn w:val="18"/>
    <w:semiHidden/>
    <w:unhideWhenUsed/>
    <w:qFormat/>
    <w:uiPriority w:val="99"/>
    <w:rPr>
      <w:rFonts w:hint="default" w:ascii="Consolas" w:hAnsi="Consolas" w:eastAsia="Consolas" w:cs="Consolas"/>
      <w:color w:val="FFFFFF"/>
      <w:sz w:val="21"/>
      <w:szCs w:val="21"/>
      <w:shd w:val="clear" w:color="auto" w:fill="333333"/>
    </w:rPr>
  </w:style>
  <w:style w:type="character" w:styleId="26">
    <w:name w:val="HTML Sample"/>
    <w:basedOn w:val="18"/>
    <w:semiHidden/>
    <w:unhideWhenUsed/>
    <w:qFormat/>
    <w:uiPriority w:val="99"/>
    <w:rPr>
      <w:rFonts w:hint="default" w:ascii="Consolas" w:hAnsi="Consolas" w:eastAsia="Consolas" w:cs="Consolas"/>
      <w:sz w:val="21"/>
      <w:szCs w:val="21"/>
    </w:rPr>
  </w:style>
  <w:style w:type="paragraph" w:customStyle="1" w:styleId="27">
    <w:name w:val="列出段落1"/>
    <w:basedOn w:val="1"/>
    <w:qFormat/>
    <w:uiPriority w:val="0"/>
    <w:pPr>
      <w:ind w:firstLine="420" w:firstLineChars="200"/>
    </w:pPr>
    <w:rPr>
      <w:rFonts w:ascii="Calibri" w:hAnsi="Calibri"/>
      <w:szCs w:val="22"/>
    </w:rPr>
  </w:style>
  <w:style w:type="paragraph" w:customStyle="1" w:styleId="28">
    <w:name w:val="p0"/>
    <w:basedOn w:val="1"/>
    <w:qFormat/>
    <w:uiPriority w:val="0"/>
    <w:pPr>
      <w:widowControl/>
    </w:pPr>
    <w:rPr>
      <w:kern w:val="0"/>
      <w:szCs w:val="21"/>
    </w:rPr>
  </w:style>
  <w:style w:type="character" w:customStyle="1" w:styleId="29">
    <w:name w:val="标题 2 字符"/>
    <w:link w:val="3"/>
    <w:qFormat/>
    <w:uiPriority w:val="9"/>
    <w:rPr>
      <w:rFonts w:ascii="Cambria" w:hAnsi="Cambria" w:eastAsia="宋体" w:cs="Times New Roman"/>
      <w:b/>
      <w:bCs/>
      <w:kern w:val="2"/>
      <w:sz w:val="32"/>
      <w:szCs w:val="32"/>
    </w:rPr>
  </w:style>
  <w:style w:type="character" w:customStyle="1" w:styleId="30">
    <w:name w:val="未处理的提及1"/>
    <w:semiHidden/>
    <w:unhideWhenUsed/>
    <w:qFormat/>
    <w:uiPriority w:val="99"/>
    <w:rPr>
      <w:color w:val="605E5C"/>
      <w:shd w:val="clear" w:color="auto" w:fill="E1DFDD"/>
    </w:rPr>
  </w:style>
  <w:style w:type="paragraph" w:customStyle="1" w:styleId="3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2">
    <w:name w:val="页眉 字符"/>
    <w:link w:val="10"/>
    <w:qFormat/>
    <w:uiPriority w:val="99"/>
    <w:rPr>
      <w:kern w:val="2"/>
      <w:sz w:val="18"/>
      <w:szCs w:val="18"/>
    </w:rPr>
  </w:style>
  <w:style w:type="paragraph" w:styleId="33">
    <w:name w:val="No Spacing"/>
    <w:qFormat/>
    <w:uiPriority w:val="1"/>
    <w:rPr>
      <w:rFonts w:ascii="等线" w:hAnsi="等线" w:eastAsia="Microsoft YaHei UI" w:cs="Arial"/>
      <w:sz w:val="22"/>
      <w:szCs w:val="22"/>
      <w:lang w:val="en-US" w:eastAsia="zh-CN" w:bidi="ar-SA"/>
    </w:rPr>
  </w:style>
  <w:style w:type="character" w:customStyle="1" w:styleId="34">
    <w:name w:val="标题 1 字符"/>
    <w:link w:val="2"/>
    <w:qFormat/>
    <w:uiPriority w:val="9"/>
    <w:rPr>
      <w:b/>
      <w:bCs/>
      <w:kern w:val="44"/>
      <w:sz w:val="44"/>
      <w:szCs w:val="44"/>
    </w:rPr>
  </w:style>
  <w:style w:type="character" w:customStyle="1" w:styleId="35">
    <w:name w:val="apple-converted-space"/>
    <w:qFormat/>
    <w:uiPriority w:val="0"/>
  </w:style>
  <w:style w:type="character" w:customStyle="1" w:styleId="36">
    <w:name w:val="item-name"/>
    <w:basedOn w:val="18"/>
    <w:qFormat/>
    <w:uiPriority w:val="0"/>
  </w:style>
  <w:style w:type="character" w:customStyle="1" w:styleId="37">
    <w:name w:val="item-name1"/>
    <w:basedOn w:val="18"/>
    <w:qFormat/>
    <w:uiPriority w:val="0"/>
  </w:style>
  <w:style w:type="character" w:customStyle="1" w:styleId="38">
    <w:name w:val="img_bg_cover"/>
    <w:basedOn w:val="18"/>
    <w:qFormat/>
    <w:uiPriority w:val="0"/>
  </w:style>
  <w:style w:type="character" w:customStyle="1" w:styleId="39">
    <w:name w:val="未处理的提及2"/>
    <w:basedOn w:val="18"/>
    <w:semiHidden/>
    <w:unhideWhenUsed/>
    <w:qFormat/>
    <w:uiPriority w:val="99"/>
    <w:rPr>
      <w:color w:val="605E5C"/>
      <w:shd w:val="clear" w:color="auto" w:fill="E1DFDD"/>
    </w:rPr>
  </w:style>
  <w:style w:type="paragraph" w:customStyle="1" w:styleId="4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1">
    <w:name w:val="页脚 字符"/>
    <w:basedOn w:val="18"/>
    <w:link w:val="9"/>
    <w:qFormat/>
    <w:uiPriority w:val="99"/>
    <w:rPr>
      <w:kern w:val="2"/>
      <w:sz w:val="18"/>
      <w:szCs w:val="18"/>
    </w:rPr>
  </w:style>
  <w:style w:type="character" w:customStyle="1" w:styleId="42">
    <w:name w:val="日期 字符"/>
    <w:basedOn w:val="18"/>
    <w:link w:val="8"/>
    <w:semiHidden/>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file:////var/folders/jv/bv1lphcj3ln8qc_qxj16nvw80000gn/T/com.microsoft.Word/WebArchiveCopyPasteTempFiles/00300026214_0e08d2d2.png" TargetMode="External"/><Relationship Id="rId14" Type="http://schemas.openxmlformats.org/officeDocument/2006/relationships/image" Target="media/image6.png"/><Relationship Id="rId13" Type="http://schemas.openxmlformats.org/officeDocument/2006/relationships/image" Target="file:////var/folders/jv/bv1lphcj3ln8qc_qxj16nvw80000gn/T/com.microsoft.Word/WebArchiveCopyPasteTempFiles/00300026213_e3208145.png" TargetMode="External"/><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12F20F-FCDF-4072-A849-E66A68D0F8BE}">
  <ds:schemaRefs/>
</ds:datastoreItem>
</file>

<file path=docProps/app.xml><?xml version="1.0" encoding="utf-8"?>
<Properties xmlns="http://schemas.openxmlformats.org/officeDocument/2006/extended-properties" xmlns:vt="http://schemas.openxmlformats.org/officeDocument/2006/docPropsVTypes">
  <Template>Normal</Template>
  <Pages>15</Pages>
  <Words>1338</Words>
  <Characters>7629</Characters>
  <Lines>63</Lines>
  <Paragraphs>17</Paragraphs>
  <TotalTime>1</TotalTime>
  <ScaleCrop>false</ScaleCrop>
  <LinksUpToDate>false</LinksUpToDate>
  <CharactersWithSpaces>8950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2019-11-15T07:25:00Z</dcterms:created>
  <dc:creator>island</dc:creator>
  <cp:lastModifiedBy>雷辉</cp:lastModifiedBy>
  <cp:lastPrinted>2019-11-15T06:22:00Z</cp:lastPrinted>
  <dcterms:modified xsi:type="dcterms:W3CDTF">2019-11-18T01:01:21Z</dcterms:modified>
  <dc:title>四川大学锦城学院文传系团总支</dc:title>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