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7A" w:rsidRDefault="00790D7A" w:rsidP="00790D7A">
      <w:pPr>
        <w:widowControl/>
        <w:spacing w:line="680" w:lineRule="exact"/>
        <w:ind w:firstLineChars="0" w:firstLine="0"/>
        <w:jc w:val="center"/>
        <w:rPr>
          <w:rFonts w:ascii="方正小标宋简体" w:eastAsia="方正小标宋简体" w:hint="eastAsia"/>
          <w:sz w:val="44"/>
          <w:szCs w:val="44"/>
        </w:rPr>
      </w:pPr>
      <w:r>
        <w:rPr>
          <w:rFonts w:ascii="方正小标宋简体" w:eastAsia="方正小标宋简体" w:hint="eastAsia"/>
          <w:sz w:val="44"/>
          <w:szCs w:val="44"/>
        </w:rPr>
        <w:t>2020年中国创新方法大赛天津赛区</w:t>
      </w:r>
      <w:r>
        <w:rPr>
          <w:rFonts w:ascii="方正小标宋简体" w:eastAsia="方正小标宋简体" w:hint="eastAsia"/>
          <w:sz w:val="44"/>
          <w:szCs w:val="44"/>
        </w:rPr>
        <w:br/>
        <w:t>暨第五届天津市企业创新方法大赛方案</w:t>
      </w:r>
    </w:p>
    <w:p w:rsidR="00790D7A" w:rsidRDefault="00790D7A" w:rsidP="00790D7A">
      <w:pPr>
        <w:spacing w:line="560" w:lineRule="exact"/>
        <w:ind w:firstLine="640"/>
        <w:rPr>
          <w:rFonts w:ascii="仿宋_GB2312" w:hAnsi="仿宋_GB2312" w:cs="仿宋_GB2312" w:hint="eastAsia"/>
          <w:sz w:val="32"/>
          <w:szCs w:val="32"/>
        </w:rPr>
      </w:pPr>
    </w:p>
    <w:p w:rsidR="00790D7A" w:rsidRDefault="00790D7A" w:rsidP="00790D7A">
      <w:pPr>
        <w:spacing w:line="600" w:lineRule="exact"/>
        <w:ind w:firstLine="640"/>
        <w:rPr>
          <w:rFonts w:ascii="仿宋_GB2312" w:hAnsi="仿宋_GB2312" w:cs="仿宋_GB2312" w:hint="eastAsia"/>
          <w:sz w:val="32"/>
          <w:szCs w:val="32"/>
        </w:rPr>
      </w:pPr>
      <w:r>
        <w:rPr>
          <w:rFonts w:ascii="仿宋_GB2312" w:hAnsi="仿宋_GB2312" w:cs="仿宋_GB2312" w:hint="eastAsia"/>
          <w:sz w:val="32"/>
          <w:szCs w:val="32"/>
        </w:rPr>
        <w:t>根据2020年中国创新方法大赛要求，市科协、</w:t>
      </w:r>
      <w:proofErr w:type="gramStart"/>
      <w:r>
        <w:rPr>
          <w:rFonts w:ascii="仿宋_GB2312" w:hAnsi="仿宋_GB2312" w:cs="仿宋_GB2312" w:hint="eastAsia"/>
          <w:sz w:val="32"/>
          <w:szCs w:val="32"/>
        </w:rPr>
        <w:t>市委网信办</w:t>
      </w:r>
      <w:proofErr w:type="gramEnd"/>
      <w:r>
        <w:rPr>
          <w:rFonts w:ascii="仿宋_GB2312" w:hAnsi="仿宋_GB2312" w:cs="仿宋_GB2312" w:hint="eastAsia"/>
          <w:sz w:val="32"/>
          <w:szCs w:val="32"/>
        </w:rPr>
        <w:t>、市科技局、市工信局、市商务局、市市场监管委、市国资委、市工商联、西青区人民政府、海河传媒中心将联合举办2020年中国创新方法大赛天津赛区（以下简称“天津分赛”），旨在搭建服务企业创新平台，弘扬创新文化，营造创新氛围，传播创新方法，激发企业一线科技人员创新热情，提升企业自主创新能力，服务“五个现代化天津”建设。天津分赛将选拔优秀企业参加全国总决赛。</w:t>
      </w:r>
    </w:p>
    <w:p w:rsidR="00790D7A" w:rsidRDefault="00790D7A" w:rsidP="00790D7A">
      <w:pPr>
        <w:spacing w:line="600" w:lineRule="exact"/>
        <w:ind w:firstLine="640"/>
        <w:rPr>
          <w:rFonts w:ascii="仿宋_GB2312" w:hAnsi="仿宋_GB2312" w:cs="仿宋_GB2312" w:hint="eastAsia"/>
          <w:sz w:val="32"/>
          <w:szCs w:val="32"/>
        </w:rPr>
      </w:pPr>
      <w:r>
        <w:rPr>
          <w:rFonts w:ascii="仿宋_GB2312" w:hAnsi="仿宋_GB2312" w:cs="仿宋_GB2312" w:hint="eastAsia"/>
          <w:sz w:val="32"/>
          <w:szCs w:val="32"/>
        </w:rPr>
        <w:t>为保障活动顺利开展，现将天津分</w:t>
      </w:r>
      <w:proofErr w:type="gramStart"/>
      <w:r>
        <w:rPr>
          <w:rFonts w:ascii="仿宋_GB2312" w:hAnsi="仿宋_GB2312" w:cs="仿宋_GB2312" w:hint="eastAsia"/>
          <w:sz w:val="32"/>
          <w:szCs w:val="32"/>
        </w:rPr>
        <w:t>赛方案</w:t>
      </w:r>
      <w:proofErr w:type="gramEnd"/>
      <w:r>
        <w:rPr>
          <w:rFonts w:ascii="仿宋_GB2312" w:hAnsi="仿宋_GB2312" w:cs="仿宋_GB2312" w:hint="eastAsia"/>
          <w:sz w:val="32"/>
          <w:szCs w:val="32"/>
        </w:rPr>
        <w:t>公布如下：</w:t>
      </w:r>
    </w:p>
    <w:p w:rsidR="00790D7A" w:rsidRDefault="00790D7A" w:rsidP="00790D7A">
      <w:pPr>
        <w:spacing w:line="600" w:lineRule="exact"/>
        <w:ind w:firstLine="640"/>
        <w:rPr>
          <w:rFonts w:ascii="黑体" w:eastAsia="黑体" w:hint="eastAsia"/>
          <w:sz w:val="32"/>
          <w:szCs w:val="32"/>
        </w:rPr>
      </w:pPr>
      <w:r>
        <w:rPr>
          <w:rFonts w:ascii="黑体" w:eastAsia="黑体" w:hint="eastAsia"/>
          <w:sz w:val="32"/>
          <w:szCs w:val="32"/>
        </w:rPr>
        <w:t>一、组织机构</w:t>
      </w:r>
    </w:p>
    <w:p w:rsidR="00790D7A" w:rsidRDefault="00790D7A" w:rsidP="00790D7A">
      <w:pPr>
        <w:spacing w:line="600" w:lineRule="exact"/>
        <w:ind w:firstLine="643"/>
        <w:rPr>
          <w:rFonts w:ascii="仿宋_GB2312" w:hAnsi="仿宋_GB2312" w:cs="仿宋_GB2312" w:hint="eastAsia"/>
          <w:sz w:val="32"/>
          <w:szCs w:val="32"/>
        </w:rPr>
      </w:pPr>
      <w:r w:rsidRPr="00BB0793">
        <w:rPr>
          <w:rFonts w:ascii="楷体_GB2312" w:eastAsia="楷体_GB2312" w:hAnsi="仿宋_GB2312" w:cs="仿宋_GB2312" w:hint="eastAsia"/>
          <w:b/>
          <w:sz w:val="32"/>
          <w:szCs w:val="32"/>
        </w:rPr>
        <w:t>主办单位：</w:t>
      </w:r>
      <w:r>
        <w:rPr>
          <w:rFonts w:ascii="仿宋_GB2312" w:hAnsi="仿宋_GB2312" w:cs="仿宋_GB2312" w:hint="eastAsia"/>
          <w:sz w:val="32"/>
          <w:szCs w:val="32"/>
        </w:rPr>
        <w:t>天津市科学技术协会</w:t>
      </w:r>
    </w:p>
    <w:p w:rsidR="00790D7A" w:rsidRDefault="00790D7A" w:rsidP="00790D7A">
      <w:pPr>
        <w:spacing w:line="600" w:lineRule="exact"/>
        <w:ind w:rightChars="-72" w:right="-216" w:firstLineChars="700" w:firstLine="2240"/>
        <w:rPr>
          <w:rFonts w:ascii="仿宋_GB2312" w:hAnsi="仿宋_GB2312" w:cs="仿宋_GB2312" w:hint="eastAsia"/>
          <w:sz w:val="32"/>
          <w:szCs w:val="32"/>
        </w:rPr>
      </w:pPr>
      <w:r>
        <w:rPr>
          <w:rFonts w:ascii="仿宋_GB2312" w:hAnsi="仿宋_GB2312" w:cs="仿宋_GB2312" w:hint="eastAsia"/>
          <w:sz w:val="32"/>
          <w:szCs w:val="32"/>
        </w:rPr>
        <w:t>中共天津市</w:t>
      </w:r>
      <w:proofErr w:type="gramStart"/>
      <w:r>
        <w:rPr>
          <w:rFonts w:ascii="仿宋_GB2312" w:hAnsi="仿宋_GB2312" w:cs="仿宋_GB2312" w:hint="eastAsia"/>
          <w:sz w:val="32"/>
          <w:szCs w:val="32"/>
        </w:rPr>
        <w:t>委网络</w:t>
      </w:r>
      <w:proofErr w:type="gramEnd"/>
      <w:r>
        <w:rPr>
          <w:rFonts w:ascii="仿宋_GB2312" w:hAnsi="仿宋_GB2312" w:cs="仿宋_GB2312" w:hint="eastAsia"/>
          <w:sz w:val="32"/>
          <w:szCs w:val="32"/>
        </w:rPr>
        <w:t>安全和信息化委员会办公室</w:t>
      </w:r>
    </w:p>
    <w:p w:rsidR="00790D7A" w:rsidRDefault="00790D7A" w:rsidP="00790D7A">
      <w:pPr>
        <w:spacing w:line="600" w:lineRule="exact"/>
        <w:ind w:firstLineChars="700" w:firstLine="2240"/>
        <w:rPr>
          <w:rFonts w:ascii="仿宋_GB2312" w:hAnsi="仿宋_GB2312" w:cs="仿宋_GB2312" w:hint="eastAsia"/>
          <w:sz w:val="32"/>
          <w:szCs w:val="32"/>
        </w:rPr>
      </w:pPr>
      <w:r>
        <w:rPr>
          <w:rFonts w:ascii="仿宋_GB2312" w:hAnsi="仿宋_GB2312" w:cs="仿宋_GB2312" w:hint="eastAsia"/>
          <w:sz w:val="32"/>
          <w:szCs w:val="32"/>
        </w:rPr>
        <w:t>天津市科学技术局</w:t>
      </w:r>
    </w:p>
    <w:p w:rsidR="00790D7A" w:rsidRDefault="00790D7A" w:rsidP="00790D7A">
      <w:pPr>
        <w:spacing w:line="600" w:lineRule="exact"/>
        <w:ind w:firstLineChars="700" w:firstLine="2240"/>
        <w:rPr>
          <w:rFonts w:ascii="仿宋_GB2312" w:hAnsi="仿宋_GB2312" w:cs="仿宋_GB2312" w:hint="eastAsia"/>
          <w:sz w:val="32"/>
          <w:szCs w:val="32"/>
        </w:rPr>
      </w:pPr>
      <w:r>
        <w:rPr>
          <w:rFonts w:ascii="仿宋_GB2312" w:hAnsi="仿宋_GB2312" w:cs="仿宋_GB2312" w:hint="eastAsia"/>
          <w:sz w:val="32"/>
          <w:szCs w:val="32"/>
        </w:rPr>
        <w:t>天津市工业和信息化局</w:t>
      </w:r>
    </w:p>
    <w:p w:rsidR="00790D7A" w:rsidRDefault="00790D7A" w:rsidP="00790D7A">
      <w:pPr>
        <w:spacing w:line="600" w:lineRule="exact"/>
        <w:ind w:firstLineChars="700" w:firstLine="2240"/>
        <w:rPr>
          <w:rFonts w:ascii="仿宋_GB2312" w:hAnsi="仿宋_GB2312" w:cs="仿宋_GB2312" w:hint="eastAsia"/>
          <w:sz w:val="32"/>
          <w:szCs w:val="32"/>
        </w:rPr>
      </w:pPr>
      <w:r>
        <w:rPr>
          <w:rFonts w:ascii="仿宋_GB2312" w:hAnsi="仿宋_GB2312" w:cs="仿宋_GB2312" w:hint="eastAsia"/>
          <w:sz w:val="32"/>
          <w:szCs w:val="32"/>
        </w:rPr>
        <w:t>天津市商务局</w:t>
      </w:r>
    </w:p>
    <w:p w:rsidR="00790D7A" w:rsidRDefault="00790D7A" w:rsidP="00790D7A">
      <w:pPr>
        <w:spacing w:line="600" w:lineRule="exact"/>
        <w:ind w:firstLineChars="700" w:firstLine="2240"/>
        <w:rPr>
          <w:rFonts w:ascii="仿宋_GB2312" w:hAnsi="仿宋_GB2312" w:cs="仿宋_GB2312" w:hint="eastAsia"/>
          <w:sz w:val="32"/>
          <w:szCs w:val="32"/>
        </w:rPr>
      </w:pPr>
      <w:r>
        <w:rPr>
          <w:rFonts w:ascii="仿宋_GB2312" w:hAnsi="仿宋_GB2312" w:cs="仿宋_GB2312" w:hint="eastAsia"/>
          <w:sz w:val="32"/>
          <w:szCs w:val="32"/>
        </w:rPr>
        <w:t>天津市市场监督管理委员会</w:t>
      </w:r>
    </w:p>
    <w:p w:rsidR="00790D7A" w:rsidRDefault="00790D7A" w:rsidP="00790D7A">
      <w:pPr>
        <w:spacing w:line="600" w:lineRule="exact"/>
        <w:ind w:firstLineChars="700" w:firstLine="2240"/>
        <w:rPr>
          <w:rFonts w:ascii="仿宋_GB2312" w:hAnsi="仿宋_GB2312" w:cs="仿宋_GB2312" w:hint="eastAsia"/>
          <w:sz w:val="32"/>
          <w:szCs w:val="32"/>
        </w:rPr>
      </w:pPr>
      <w:r>
        <w:rPr>
          <w:rFonts w:ascii="仿宋_GB2312" w:hAnsi="仿宋_GB2312" w:cs="仿宋_GB2312" w:hint="eastAsia"/>
          <w:sz w:val="32"/>
          <w:szCs w:val="32"/>
        </w:rPr>
        <w:t>天津市人民政府国有资产监督管理委员会</w:t>
      </w:r>
    </w:p>
    <w:p w:rsidR="00790D7A" w:rsidRDefault="00790D7A" w:rsidP="00790D7A">
      <w:pPr>
        <w:spacing w:line="600" w:lineRule="exact"/>
        <w:ind w:rightChars="-72" w:right="-216" w:firstLineChars="700" w:firstLine="2240"/>
        <w:rPr>
          <w:rFonts w:ascii="仿宋_GB2312" w:hAnsi="仿宋_GB2312" w:cs="仿宋_GB2312" w:hint="eastAsia"/>
          <w:sz w:val="32"/>
          <w:szCs w:val="32"/>
        </w:rPr>
      </w:pPr>
      <w:r>
        <w:rPr>
          <w:rFonts w:ascii="仿宋_GB2312" w:hAnsi="仿宋_GB2312" w:cs="仿宋_GB2312" w:hint="eastAsia"/>
          <w:sz w:val="32"/>
          <w:szCs w:val="32"/>
        </w:rPr>
        <w:lastRenderedPageBreak/>
        <w:t>天津市工商业联合会</w:t>
      </w:r>
    </w:p>
    <w:p w:rsidR="00790D7A" w:rsidRDefault="00790D7A" w:rsidP="00790D7A">
      <w:pPr>
        <w:spacing w:line="600" w:lineRule="exact"/>
        <w:ind w:rightChars="-72" w:right="-216" w:firstLineChars="700" w:firstLine="2240"/>
        <w:rPr>
          <w:rFonts w:ascii="仿宋_GB2312" w:hAnsi="仿宋_GB2312" w:cs="仿宋_GB2312" w:hint="eastAsia"/>
          <w:sz w:val="32"/>
          <w:szCs w:val="32"/>
        </w:rPr>
      </w:pPr>
      <w:r>
        <w:rPr>
          <w:rFonts w:ascii="仿宋_GB2312" w:hAnsi="仿宋_GB2312" w:cs="仿宋_GB2312" w:hint="eastAsia"/>
          <w:sz w:val="32"/>
          <w:szCs w:val="32"/>
        </w:rPr>
        <w:t>天津海河传媒中心</w:t>
      </w:r>
    </w:p>
    <w:p w:rsidR="00790D7A" w:rsidRDefault="00790D7A" w:rsidP="00790D7A">
      <w:pPr>
        <w:spacing w:line="600" w:lineRule="exact"/>
        <w:ind w:rightChars="-72" w:right="-216" w:firstLineChars="700" w:firstLine="2240"/>
        <w:rPr>
          <w:rFonts w:ascii="仿宋_GB2312" w:hAnsi="仿宋_GB2312" w:cs="仿宋_GB2312" w:hint="eastAsia"/>
          <w:sz w:val="32"/>
          <w:szCs w:val="32"/>
        </w:rPr>
      </w:pPr>
      <w:r>
        <w:rPr>
          <w:rFonts w:ascii="仿宋_GB2312" w:hAnsi="仿宋_GB2312" w:cs="仿宋_GB2312" w:hint="eastAsia"/>
          <w:sz w:val="32"/>
          <w:szCs w:val="32"/>
        </w:rPr>
        <w:t>西青区人民政府</w:t>
      </w:r>
    </w:p>
    <w:p w:rsidR="00790D7A" w:rsidRDefault="00790D7A" w:rsidP="00790D7A">
      <w:pPr>
        <w:spacing w:line="600" w:lineRule="exact"/>
        <w:ind w:firstLine="640"/>
        <w:rPr>
          <w:rFonts w:ascii="黑体" w:eastAsia="黑体" w:hint="eastAsia"/>
          <w:sz w:val="32"/>
          <w:szCs w:val="32"/>
        </w:rPr>
      </w:pPr>
      <w:r>
        <w:rPr>
          <w:rFonts w:ascii="黑体" w:eastAsia="黑体" w:hint="eastAsia"/>
          <w:sz w:val="32"/>
          <w:szCs w:val="32"/>
        </w:rPr>
        <w:t>二、赛事设计</w:t>
      </w:r>
    </w:p>
    <w:p w:rsidR="00790D7A" w:rsidRDefault="00790D7A" w:rsidP="00790D7A">
      <w:pPr>
        <w:spacing w:line="600" w:lineRule="exact"/>
        <w:ind w:firstLine="643"/>
        <w:rPr>
          <w:rFonts w:ascii="楷体_GB2312" w:eastAsia="楷体_GB2312" w:hint="eastAsia"/>
          <w:b/>
          <w:sz w:val="32"/>
          <w:szCs w:val="32"/>
        </w:rPr>
      </w:pPr>
      <w:r>
        <w:rPr>
          <w:rFonts w:ascii="楷体_GB2312" w:eastAsia="楷体_GB2312" w:hint="eastAsia"/>
          <w:b/>
          <w:sz w:val="32"/>
          <w:szCs w:val="32"/>
        </w:rPr>
        <w:t>（一）参赛对象</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来自企业、科研院所、从事创新创业及其服务的其他事业单位、新型研发机构等单位的人员所组成的团队均可报名参赛。</w:t>
      </w:r>
    </w:p>
    <w:p w:rsidR="00790D7A" w:rsidRDefault="00790D7A" w:rsidP="00790D7A">
      <w:pPr>
        <w:spacing w:line="600" w:lineRule="exact"/>
        <w:ind w:firstLine="643"/>
        <w:rPr>
          <w:rFonts w:ascii="楷体_GB2312" w:eastAsia="楷体_GB2312" w:hint="eastAsia"/>
          <w:b/>
          <w:sz w:val="32"/>
          <w:szCs w:val="32"/>
        </w:rPr>
      </w:pPr>
      <w:r>
        <w:rPr>
          <w:rFonts w:ascii="楷体_GB2312" w:eastAsia="楷体_GB2312" w:hint="eastAsia"/>
          <w:b/>
          <w:sz w:val="32"/>
          <w:szCs w:val="32"/>
        </w:rPr>
        <w:t>（二）项目要求</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参加竞赛项目为以TRIZ为主的技术创新方法、管理创新方法及其他创新方法在研发生产中和学习生活中的实际应用。竞赛项目不包含非企业报名项目、非创新方法应用项目及已参加过往</w:t>
      </w:r>
      <w:proofErr w:type="gramStart"/>
      <w:r>
        <w:rPr>
          <w:rFonts w:ascii="仿宋_GB2312" w:hint="eastAsia"/>
          <w:sz w:val="32"/>
          <w:szCs w:val="32"/>
        </w:rPr>
        <w:t>届创新</w:t>
      </w:r>
      <w:proofErr w:type="gramEnd"/>
      <w:r>
        <w:rPr>
          <w:rFonts w:ascii="仿宋_GB2312" w:hint="eastAsia"/>
          <w:sz w:val="32"/>
          <w:szCs w:val="32"/>
        </w:rPr>
        <w:t>方法大赛的项目。</w:t>
      </w:r>
    </w:p>
    <w:p w:rsidR="00790D7A" w:rsidRDefault="00790D7A" w:rsidP="00790D7A">
      <w:pPr>
        <w:spacing w:line="600" w:lineRule="exact"/>
        <w:ind w:firstLine="643"/>
        <w:rPr>
          <w:rFonts w:ascii="楷体_GB2312" w:eastAsia="楷体_GB2312" w:hint="eastAsia"/>
          <w:b/>
          <w:sz w:val="32"/>
          <w:szCs w:val="32"/>
        </w:rPr>
      </w:pPr>
      <w:r>
        <w:rPr>
          <w:rFonts w:ascii="楷体_GB2312" w:eastAsia="楷体_GB2312" w:hint="eastAsia"/>
          <w:b/>
          <w:sz w:val="32"/>
          <w:szCs w:val="32"/>
        </w:rPr>
        <w:t>（三）参赛形式：</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以企业为单位申报，以项目团队形式参赛，每个团队人数3人。对于跨企业组队参赛的作品，各成员须事先协商明确作品的申报单位。</w:t>
      </w:r>
    </w:p>
    <w:p w:rsidR="00790D7A" w:rsidRDefault="00790D7A" w:rsidP="00790D7A">
      <w:pPr>
        <w:spacing w:line="600" w:lineRule="exact"/>
        <w:ind w:firstLine="643"/>
        <w:rPr>
          <w:rFonts w:ascii="楷体_GB2312" w:eastAsia="楷体_GB2312" w:hint="eastAsia"/>
          <w:b/>
          <w:sz w:val="32"/>
          <w:szCs w:val="32"/>
        </w:rPr>
      </w:pPr>
      <w:r>
        <w:rPr>
          <w:rFonts w:ascii="楷体_GB2312" w:eastAsia="楷体_GB2312" w:hint="eastAsia"/>
          <w:b/>
          <w:sz w:val="32"/>
          <w:szCs w:val="32"/>
        </w:rPr>
        <w:t>（四）比赛时间</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2020年9月下旬</w:t>
      </w:r>
    </w:p>
    <w:p w:rsidR="00790D7A" w:rsidRDefault="00790D7A" w:rsidP="00790D7A">
      <w:pPr>
        <w:spacing w:line="600" w:lineRule="exact"/>
        <w:ind w:firstLine="643"/>
        <w:rPr>
          <w:rFonts w:ascii="楷体_GB2312" w:eastAsia="楷体_GB2312" w:hint="eastAsia"/>
          <w:b/>
          <w:sz w:val="32"/>
          <w:szCs w:val="32"/>
        </w:rPr>
      </w:pPr>
      <w:r>
        <w:rPr>
          <w:rFonts w:ascii="楷体_GB2312" w:eastAsia="楷体_GB2312" w:hint="eastAsia"/>
          <w:b/>
          <w:sz w:val="32"/>
          <w:szCs w:val="32"/>
        </w:rPr>
        <w:t>（五）比赛地点</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天津科技工作者之家（津南区海河教育园区和</w:t>
      </w:r>
      <w:proofErr w:type="gramStart"/>
      <w:r>
        <w:rPr>
          <w:rFonts w:ascii="仿宋_GB2312" w:hint="eastAsia"/>
          <w:sz w:val="32"/>
          <w:szCs w:val="32"/>
        </w:rPr>
        <w:t>慧南路</w:t>
      </w:r>
      <w:proofErr w:type="gramEnd"/>
      <w:r>
        <w:rPr>
          <w:rFonts w:ascii="仿宋_GB2312" w:hint="eastAsia"/>
          <w:sz w:val="32"/>
          <w:szCs w:val="32"/>
        </w:rPr>
        <w:t>2号）</w:t>
      </w:r>
    </w:p>
    <w:p w:rsidR="00790D7A" w:rsidRDefault="00790D7A" w:rsidP="00790D7A">
      <w:pPr>
        <w:spacing w:line="600" w:lineRule="exact"/>
        <w:ind w:firstLine="640"/>
        <w:rPr>
          <w:rFonts w:ascii="黑体" w:eastAsia="黑体" w:hint="eastAsia"/>
          <w:sz w:val="32"/>
          <w:szCs w:val="32"/>
        </w:rPr>
      </w:pPr>
      <w:r>
        <w:rPr>
          <w:rFonts w:ascii="黑体" w:eastAsia="黑体" w:hint="eastAsia"/>
          <w:sz w:val="32"/>
          <w:szCs w:val="32"/>
        </w:rPr>
        <w:t>三、比赛流程</w:t>
      </w:r>
    </w:p>
    <w:p w:rsidR="00790D7A" w:rsidRDefault="00790D7A" w:rsidP="00790D7A">
      <w:pPr>
        <w:spacing w:line="600" w:lineRule="exact"/>
        <w:ind w:firstLine="643"/>
        <w:rPr>
          <w:rFonts w:ascii="楷体_GB2312" w:eastAsia="楷体_GB2312" w:hint="eastAsia"/>
          <w:b/>
          <w:sz w:val="32"/>
          <w:szCs w:val="32"/>
        </w:rPr>
      </w:pPr>
      <w:r>
        <w:rPr>
          <w:rFonts w:ascii="楷体_GB2312" w:eastAsia="楷体_GB2312" w:hint="eastAsia"/>
          <w:b/>
          <w:sz w:val="32"/>
          <w:szCs w:val="32"/>
        </w:rPr>
        <w:lastRenderedPageBreak/>
        <w:t>（一）报名参赛</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参赛团队请</w:t>
      </w:r>
      <w:proofErr w:type="gramStart"/>
      <w:r>
        <w:rPr>
          <w:rFonts w:ascii="仿宋_GB2312" w:hint="eastAsia"/>
          <w:sz w:val="32"/>
          <w:szCs w:val="32"/>
        </w:rPr>
        <w:t>登录科创</w:t>
      </w:r>
      <w:proofErr w:type="gramEnd"/>
      <w:r>
        <w:rPr>
          <w:rFonts w:ascii="仿宋_GB2312" w:hint="eastAsia"/>
          <w:sz w:val="32"/>
          <w:szCs w:val="32"/>
        </w:rPr>
        <w:t>中国创新资源共享平台/中国创新方法大赛官网，统一报名参加企业创新方法专项赛，(http://www.qiyekexie.com/portal/scds/index.action)，报名时间为2020年8月15日至9月20日。报名参赛不收取任何费用。</w:t>
      </w:r>
    </w:p>
    <w:p w:rsidR="00790D7A" w:rsidRDefault="00790D7A" w:rsidP="00790D7A">
      <w:pPr>
        <w:spacing w:line="600" w:lineRule="exact"/>
        <w:ind w:firstLine="643"/>
        <w:rPr>
          <w:rFonts w:ascii="楷体_GB2312" w:eastAsia="楷体_GB2312" w:hint="eastAsia"/>
          <w:b/>
          <w:sz w:val="32"/>
          <w:szCs w:val="32"/>
        </w:rPr>
      </w:pPr>
      <w:r>
        <w:rPr>
          <w:rFonts w:ascii="楷体_GB2312" w:eastAsia="楷体_GB2312" w:hint="eastAsia"/>
          <w:b/>
          <w:sz w:val="32"/>
          <w:szCs w:val="32"/>
        </w:rPr>
        <w:t>（二）现场比赛</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1.采用现场陈述、答辩、评审委员会评审的方式。</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2.每个参赛项目由负责人通过PPT/视频/展板/模型的方式进行项目介绍，介绍时间不超过8分钟，答辩时间不超过5分钟。</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3.评委进行现场提问，每个项目参加答辩人数不超过3人。</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4.评委根据参赛项目陈述和答辩情况，按照评分标准进行评分。</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5.评委评分后，所得平均分即为参赛作品最终得分。</w:t>
      </w:r>
    </w:p>
    <w:p w:rsidR="00790D7A" w:rsidRDefault="00790D7A" w:rsidP="00790D7A">
      <w:pPr>
        <w:spacing w:line="600" w:lineRule="exact"/>
        <w:ind w:firstLine="643"/>
        <w:rPr>
          <w:rFonts w:ascii="楷体_GB2312" w:eastAsia="楷体_GB2312" w:hint="eastAsia"/>
          <w:b/>
          <w:sz w:val="32"/>
          <w:szCs w:val="32"/>
        </w:rPr>
      </w:pPr>
      <w:r>
        <w:rPr>
          <w:rFonts w:ascii="楷体_GB2312" w:eastAsia="楷体_GB2312" w:hint="eastAsia"/>
          <w:b/>
          <w:sz w:val="32"/>
          <w:szCs w:val="32"/>
        </w:rPr>
        <w:t>（三）比赛结果</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现场比赛之后，根据项目成绩评选出一、二、三等奖，并公示比赛结果。</w:t>
      </w:r>
    </w:p>
    <w:p w:rsidR="00790D7A" w:rsidRDefault="00790D7A" w:rsidP="00790D7A">
      <w:pPr>
        <w:spacing w:line="600" w:lineRule="exact"/>
        <w:ind w:firstLine="643"/>
        <w:rPr>
          <w:rFonts w:ascii="楷体_GB2312" w:eastAsia="楷体_GB2312" w:hint="eastAsia"/>
          <w:b/>
          <w:sz w:val="32"/>
          <w:szCs w:val="32"/>
        </w:rPr>
      </w:pPr>
      <w:r>
        <w:rPr>
          <w:rFonts w:ascii="楷体_GB2312" w:eastAsia="楷体_GB2312" w:hint="eastAsia"/>
          <w:b/>
          <w:sz w:val="32"/>
          <w:szCs w:val="32"/>
        </w:rPr>
        <w:t>（四）奖项设置</w:t>
      </w:r>
    </w:p>
    <w:p w:rsidR="00790D7A" w:rsidRDefault="00790D7A" w:rsidP="00790D7A">
      <w:pPr>
        <w:spacing w:line="600" w:lineRule="exact"/>
        <w:ind w:firstLine="640"/>
        <w:rPr>
          <w:rFonts w:ascii="仿宋_GB2312"/>
          <w:sz w:val="32"/>
          <w:szCs w:val="32"/>
        </w:rPr>
      </w:pPr>
      <w:r>
        <w:rPr>
          <w:rFonts w:ascii="仿宋_GB2312" w:hint="eastAsia"/>
          <w:sz w:val="32"/>
          <w:szCs w:val="32"/>
        </w:rPr>
        <w:t>大赛设一等奖、二等奖、三等奖，各等次奖项分别约占报名</w:t>
      </w:r>
    </w:p>
    <w:p w:rsidR="00790D7A" w:rsidRDefault="00790D7A" w:rsidP="00790D7A">
      <w:pPr>
        <w:spacing w:line="600" w:lineRule="exact"/>
        <w:ind w:firstLineChars="0" w:firstLine="0"/>
        <w:rPr>
          <w:rFonts w:ascii="仿宋_GB2312" w:hint="eastAsia"/>
          <w:sz w:val="32"/>
          <w:szCs w:val="32"/>
        </w:rPr>
      </w:pPr>
      <w:r>
        <w:rPr>
          <w:rFonts w:ascii="仿宋_GB2312" w:hint="eastAsia"/>
          <w:sz w:val="32"/>
          <w:szCs w:val="32"/>
        </w:rPr>
        <w:t>参赛项目总数的10%、20%、30%，为获奖者颁发获奖证书。大赛结束后评审委员会对参赛项目进行复审，推荐参赛作品总数的约</w:t>
      </w:r>
      <w:r>
        <w:rPr>
          <w:rFonts w:ascii="仿宋_GB2312" w:hint="eastAsia"/>
          <w:sz w:val="32"/>
          <w:szCs w:val="32"/>
        </w:rPr>
        <w:lastRenderedPageBreak/>
        <w:t>10%左右项目进入全国总决赛。</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大赛特别设置“创新揭榜赛”板块，吸引各类技术人才参与创新创造，提供开放共享服务，集聚创新资源。“创新揭榜赛”夺魁项目将获得直通创新方法大赛全国总决赛电视擂台赛的参与资格。</w:t>
      </w:r>
    </w:p>
    <w:p w:rsidR="00790D7A" w:rsidRDefault="00790D7A" w:rsidP="00790D7A">
      <w:pPr>
        <w:spacing w:line="600" w:lineRule="exact"/>
        <w:ind w:firstLine="640"/>
        <w:rPr>
          <w:rFonts w:ascii="黑体" w:eastAsia="黑体" w:hint="eastAsia"/>
          <w:sz w:val="32"/>
          <w:szCs w:val="32"/>
        </w:rPr>
      </w:pPr>
      <w:r>
        <w:rPr>
          <w:rFonts w:ascii="黑体" w:eastAsia="黑体" w:hint="eastAsia"/>
          <w:sz w:val="32"/>
          <w:szCs w:val="32"/>
        </w:rPr>
        <w:t>四、联系方式</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天津科学技术馆</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联 系 人：王欣荣</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联系电话：022-</w:t>
      </w:r>
      <w:proofErr w:type="gramStart"/>
      <w:r>
        <w:rPr>
          <w:rFonts w:ascii="仿宋_GB2312" w:hint="eastAsia"/>
          <w:sz w:val="32"/>
          <w:szCs w:val="32"/>
        </w:rPr>
        <w:t>28228311  16600459356</w:t>
      </w:r>
      <w:proofErr w:type="gramEnd"/>
    </w:p>
    <w:p w:rsidR="00790D7A" w:rsidRDefault="00790D7A" w:rsidP="00790D7A">
      <w:pPr>
        <w:spacing w:line="600" w:lineRule="exact"/>
        <w:ind w:firstLine="640"/>
        <w:rPr>
          <w:rFonts w:ascii="仿宋_GB2312" w:hint="eastAsia"/>
          <w:sz w:val="32"/>
          <w:szCs w:val="32"/>
        </w:rPr>
      </w:pPr>
      <w:r>
        <w:rPr>
          <w:rFonts w:ascii="仿宋_GB2312" w:hint="eastAsia"/>
          <w:sz w:val="32"/>
          <w:szCs w:val="32"/>
        </w:rPr>
        <w:t>联系邮箱：tjkjfz@126.com</w:t>
      </w:r>
    </w:p>
    <w:p w:rsidR="00790D7A" w:rsidRDefault="00790D7A" w:rsidP="00790D7A">
      <w:pPr>
        <w:spacing w:line="600" w:lineRule="exact"/>
        <w:ind w:firstLine="640"/>
        <w:rPr>
          <w:rFonts w:ascii="仿宋_GB2312" w:hint="eastAsia"/>
          <w:sz w:val="32"/>
          <w:szCs w:val="32"/>
        </w:rPr>
      </w:pPr>
    </w:p>
    <w:p w:rsidR="00790D7A" w:rsidRDefault="00790D7A" w:rsidP="00790D7A">
      <w:pPr>
        <w:spacing w:line="600" w:lineRule="exact"/>
        <w:ind w:firstLine="640"/>
        <w:rPr>
          <w:rFonts w:ascii="仿宋_GB2312" w:hint="eastAsia"/>
          <w:sz w:val="32"/>
          <w:szCs w:val="32"/>
        </w:rPr>
      </w:pPr>
      <w:r>
        <w:rPr>
          <w:rFonts w:ascii="仿宋_GB2312" w:hint="eastAsia"/>
          <w:sz w:val="32"/>
          <w:szCs w:val="32"/>
        </w:rPr>
        <w:t>天津市科学技术发展战略研究院</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联 系 人：孙加臣</w:t>
      </w:r>
    </w:p>
    <w:p w:rsidR="00790D7A" w:rsidRDefault="00790D7A" w:rsidP="00790D7A">
      <w:pPr>
        <w:spacing w:line="600" w:lineRule="exact"/>
        <w:ind w:firstLine="640"/>
        <w:rPr>
          <w:rFonts w:ascii="仿宋_GB2312" w:hint="eastAsia"/>
          <w:sz w:val="32"/>
          <w:szCs w:val="32"/>
        </w:rPr>
      </w:pPr>
      <w:r>
        <w:rPr>
          <w:rFonts w:ascii="仿宋_GB2312" w:hint="eastAsia"/>
          <w:sz w:val="32"/>
          <w:szCs w:val="32"/>
        </w:rPr>
        <w:t>联系电话：</w:t>
      </w:r>
      <w:r w:rsidRPr="003D3150">
        <w:rPr>
          <w:rFonts w:ascii="仿宋_GB2312"/>
          <w:sz w:val="32"/>
          <w:szCs w:val="32"/>
        </w:rPr>
        <w:t>13802195925</w:t>
      </w:r>
    </w:p>
    <w:p w:rsidR="00790D7A" w:rsidRPr="009612DA" w:rsidRDefault="00790D7A" w:rsidP="00790D7A">
      <w:pPr>
        <w:spacing w:line="600" w:lineRule="exact"/>
        <w:ind w:firstLine="640"/>
        <w:rPr>
          <w:rFonts w:ascii="仿宋_GB2312" w:hint="eastAsia"/>
          <w:sz w:val="32"/>
          <w:szCs w:val="32"/>
        </w:rPr>
      </w:pPr>
      <w:r>
        <w:rPr>
          <w:rFonts w:ascii="仿宋_GB2312" w:hint="eastAsia"/>
          <w:sz w:val="32"/>
          <w:szCs w:val="32"/>
        </w:rPr>
        <w:t>联系邮箱：</w:t>
      </w:r>
      <w:r w:rsidRPr="003D3150">
        <w:rPr>
          <w:rFonts w:ascii="仿宋_GB2312"/>
          <w:sz w:val="32"/>
          <w:szCs w:val="32"/>
        </w:rPr>
        <w:t>sunjiachen@tj.gov.cn</w:t>
      </w:r>
    </w:p>
    <w:p w:rsidR="005B3989" w:rsidRPr="00790D7A" w:rsidRDefault="005B3989" w:rsidP="00790D7A">
      <w:pPr>
        <w:ind w:firstLine="600"/>
      </w:pPr>
      <w:bookmarkStart w:id="0" w:name="_GoBack"/>
      <w:bookmarkEnd w:id="0"/>
    </w:p>
    <w:sectPr w:rsidR="005B3989" w:rsidRPr="00790D7A" w:rsidSect="00F76E19">
      <w:pgSz w:w="11906" w:h="16838" w:code="9"/>
      <w:pgMar w:top="2098" w:right="1361"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3B" w:rsidRDefault="006E233B" w:rsidP="00790D7A">
      <w:pPr>
        <w:ind w:firstLine="600"/>
      </w:pPr>
      <w:r>
        <w:separator/>
      </w:r>
    </w:p>
  </w:endnote>
  <w:endnote w:type="continuationSeparator" w:id="0">
    <w:p w:rsidR="006E233B" w:rsidRDefault="006E233B" w:rsidP="00790D7A">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3B" w:rsidRDefault="006E233B" w:rsidP="00790D7A">
      <w:pPr>
        <w:ind w:firstLine="600"/>
      </w:pPr>
      <w:r>
        <w:separator/>
      </w:r>
    </w:p>
  </w:footnote>
  <w:footnote w:type="continuationSeparator" w:id="0">
    <w:p w:rsidR="006E233B" w:rsidRDefault="006E233B" w:rsidP="00790D7A">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8"/>
    <w:rsid w:val="001C0028"/>
    <w:rsid w:val="005B3989"/>
    <w:rsid w:val="006E233B"/>
    <w:rsid w:val="00790D7A"/>
    <w:rsid w:val="00F7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7A"/>
    <w:pPr>
      <w:widowControl w:val="0"/>
      <w:spacing w:line="240" w:lineRule="auto"/>
      <w:ind w:firstLineChars="200" w:firstLine="200"/>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D7A"/>
    <w:pPr>
      <w:widowControl/>
      <w:pBdr>
        <w:bottom w:val="single" w:sz="6" w:space="1" w:color="auto"/>
      </w:pBdr>
      <w:tabs>
        <w:tab w:val="center" w:pos="4153"/>
        <w:tab w:val="right" w:pos="8306"/>
      </w:tabs>
      <w:snapToGrid w:val="0"/>
      <w:spacing w:line="240" w:lineRule="atLeast"/>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0D7A"/>
    <w:rPr>
      <w:sz w:val="18"/>
      <w:szCs w:val="18"/>
    </w:rPr>
  </w:style>
  <w:style w:type="paragraph" w:styleId="a4">
    <w:name w:val="footer"/>
    <w:basedOn w:val="a"/>
    <w:link w:val="Char0"/>
    <w:uiPriority w:val="99"/>
    <w:unhideWhenUsed/>
    <w:rsid w:val="00790D7A"/>
    <w:pPr>
      <w:widowControl/>
      <w:tabs>
        <w:tab w:val="center" w:pos="4153"/>
        <w:tab w:val="right" w:pos="8306"/>
      </w:tabs>
      <w:snapToGrid w:val="0"/>
      <w:spacing w:line="240" w:lineRule="atLeast"/>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0D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7A"/>
    <w:pPr>
      <w:widowControl w:val="0"/>
      <w:spacing w:line="240" w:lineRule="auto"/>
      <w:ind w:firstLineChars="200" w:firstLine="200"/>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D7A"/>
    <w:pPr>
      <w:widowControl/>
      <w:pBdr>
        <w:bottom w:val="single" w:sz="6" w:space="1" w:color="auto"/>
      </w:pBdr>
      <w:tabs>
        <w:tab w:val="center" w:pos="4153"/>
        <w:tab w:val="right" w:pos="8306"/>
      </w:tabs>
      <w:snapToGrid w:val="0"/>
      <w:spacing w:line="240" w:lineRule="atLeast"/>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0D7A"/>
    <w:rPr>
      <w:sz w:val="18"/>
      <w:szCs w:val="18"/>
    </w:rPr>
  </w:style>
  <w:style w:type="paragraph" w:styleId="a4">
    <w:name w:val="footer"/>
    <w:basedOn w:val="a"/>
    <w:link w:val="Char0"/>
    <w:uiPriority w:val="99"/>
    <w:unhideWhenUsed/>
    <w:rsid w:val="00790D7A"/>
    <w:pPr>
      <w:widowControl/>
      <w:tabs>
        <w:tab w:val="center" w:pos="4153"/>
        <w:tab w:val="right" w:pos="8306"/>
      </w:tabs>
      <w:snapToGrid w:val="0"/>
      <w:spacing w:line="240" w:lineRule="atLeast"/>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0D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Words>
  <Characters>1186</Characters>
  <Application>Microsoft Office Word</Application>
  <DocSecurity>0</DocSecurity>
  <Lines>9</Lines>
  <Paragraphs>2</Paragraphs>
  <ScaleCrop>false</ScaleCrop>
  <Company>china</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2020-09-07T00:56:00Z</dcterms:created>
  <dcterms:modified xsi:type="dcterms:W3CDTF">2020-09-07T00:58:00Z</dcterms:modified>
</cp:coreProperties>
</file>