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50" w:rsidRPr="00046850" w:rsidRDefault="00046850" w:rsidP="00046850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Times New Roman" w:cs="Times New Roman" w:hint="eastAsia"/>
          <w:kern w:val="2"/>
          <w:sz w:val="32"/>
          <w:szCs w:val="32"/>
        </w:rPr>
      </w:pPr>
      <w:r w:rsidRPr="00046850">
        <w:rPr>
          <w:rFonts w:ascii="黑体" w:eastAsia="黑体" w:hAnsi="Times New Roman" w:cs="Times New Roman" w:hint="eastAsia"/>
          <w:kern w:val="2"/>
          <w:sz w:val="32"/>
          <w:szCs w:val="32"/>
        </w:rPr>
        <w:t>附件</w:t>
      </w:r>
    </w:p>
    <w:p w:rsidR="00046850" w:rsidRPr="00046850" w:rsidRDefault="00046850" w:rsidP="00046850">
      <w:pPr>
        <w:keepNext/>
        <w:keepLines/>
        <w:widowControl w:val="0"/>
        <w:adjustRightInd/>
        <w:spacing w:after="0" w:line="680" w:lineRule="exact"/>
        <w:jc w:val="center"/>
        <w:outlineLvl w:val="0"/>
        <w:rPr>
          <w:rFonts w:ascii="方正小标宋简体" w:eastAsia="方正小标宋简体" w:hAnsi="华文中宋" w:cs="宋体" w:hint="eastAsia"/>
          <w:kern w:val="44"/>
          <w:sz w:val="44"/>
          <w:szCs w:val="20"/>
        </w:rPr>
      </w:pPr>
      <w:r w:rsidRPr="00046850">
        <w:rPr>
          <w:rFonts w:ascii="方正小标宋简体" w:eastAsia="方正小标宋简体" w:hAnsi="Calibri" w:cs="宋体" w:hint="eastAsia"/>
          <w:kern w:val="44"/>
          <w:sz w:val="44"/>
          <w:szCs w:val="44"/>
        </w:rPr>
        <w:t>2022年天津科普大使人选简要情况</w:t>
      </w:r>
    </w:p>
    <w:p w:rsidR="00046850" w:rsidRPr="00046850" w:rsidRDefault="00046850" w:rsidP="00046850">
      <w:pPr>
        <w:widowControl w:val="0"/>
        <w:adjustRightInd/>
        <w:snapToGrid/>
        <w:spacing w:after="0" w:line="560" w:lineRule="exact"/>
        <w:jc w:val="center"/>
        <w:rPr>
          <w:rFonts w:ascii="Calibri" w:eastAsia="仿宋_GB2312" w:hAnsi="Calibri" w:cs="Times New Roman" w:hint="eastAsia"/>
          <w:kern w:val="2"/>
          <w:sz w:val="32"/>
        </w:rPr>
      </w:pPr>
      <w:r w:rsidRPr="00046850">
        <w:rPr>
          <w:rFonts w:ascii="Calibri" w:eastAsia="仿宋_GB2312" w:hAnsi="Calibri" w:cs="Times New Roman" w:hint="eastAsia"/>
          <w:kern w:val="2"/>
          <w:sz w:val="32"/>
        </w:rPr>
        <w:t>（按姓名笔画排序）</w:t>
      </w:r>
    </w:p>
    <w:p w:rsidR="00046850" w:rsidRPr="00046850" w:rsidRDefault="00046850" w:rsidP="00046850">
      <w:pPr>
        <w:widowControl w:val="0"/>
        <w:adjustRightInd/>
        <w:snapToGrid/>
        <w:spacing w:beforeLines="50" w:after="0" w:line="560" w:lineRule="exact"/>
        <w:jc w:val="both"/>
        <w:rPr>
          <w:rFonts w:ascii="黑体" w:eastAsia="黑体" w:hAnsi="黑体" w:cs="Times New Roman" w:hint="eastAsia"/>
          <w:bCs/>
          <w:kern w:val="2"/>
          <w:sz w:val="32"/>
          <w:szCs w:val="32"/>
        </w:rPr>
      </w:pPr>
      <w:r w:rsidRPr="00046850">
        <w:rPr>
          <w:rFonts w:ascii="黑体" w:eastAsia="黑体" w:hAnsi="黑体" w:cs="Times New Roman" w:hint="eastAsia"/>
          <w:bCs/>
          <w:kern w:val="2"/>
          <w:sz w:val="32"/>
          <w:szCs w:val="32"/>
        </w:rPr>
        <w:t>一、</w:t>
      </w:r>
      <w:r w:rsidRPr="00046850">
        <w:rPr>
          <w:rFonts w:ascii="黑体" w:eastAsia="黑体" w:hAnsi="黑体" w:cs="Times New Roman" w:hint="eastAsia"/>
          <w:kern w:val="2"/>
          <w:sz w:val="32"/>
        </w:rPr>
        <w:t>特聘天津科普大使人选简要情况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709"/>
        <w:gridCol w:w="6400"/>
      </w:tblGrid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1.王  星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解放军983医院心血管内科副主任医师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2.佟  文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天津市举重摔跤柔道拳击跆拳道运动管理中心党总支书记、主任、高级教练</w:t>
            </w:r>
          </w:p>
        </w:tc>
      </w:tr>
    </w:tbl>
    <w:p w:rsidR="00046850" w:rsidRPr="00046850" w:rsidRDefault="00046850" w:rsidP="00046850">
      <w:pPr>
        <w:widowControl w:val="0"/>
        <w:adjustRightInd/>
        <w:snapToGrid/>
        <w:spacing w:after="0"/>
        <w:ind w:rightChars="400" w:right="880"/>
        <w:jc w:val="both"/>
        <w:rPr>
          <w:rFonts w:ascii="仿宋_GB2312" w:eastAsia="仿宋_GB2312" w:hAnsi="Calibri" w:cs="Times New Roman" w:hint="eastAsia"/>
          <w:kern w:val="2"/>
          <w:sz w:val="32"/>
        </w:rPr>
      </w:pPr>
      <w:r w:rsidRPr="00046850">
        <w:rPr>
          <w:rFonts w:ascii="黑体" w:eastAsia="黑体" w:hAnsi="黑体" w:cs="Times New Roman" w:hint="eastAsia"/>
          <w:kern w:val="2"/>
          <w:sz w:val="32"/>
        </w:rPr>
        <w:t>二、天津科普大使人选简要情况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709"/>
        <w:gridCol w:w="6400"/>
      </w:tblGrid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1.刘  霞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天津科技大学新农村发展研究院常务副院长、天津市粮油学会理事长、研究员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2.闫春财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天津师范大学生命科学学院副院长、教授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3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.李  娜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天津市科学技术信息研究所高级工程师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4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.李晓红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天津大学医学部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副院长、教授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5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.杨全红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天津大学化工学院讲席教授、天津市欧美同学会副会长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6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.张守庆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中科蓝海测试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（天津）科技有限公司总经理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7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.周燕川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天津市气象灾害防御技术中心科技委主任、高级工程师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8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.庞群英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天津市地震局信息中心综合管理部部长、高级工程师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9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.姜志云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女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天津市和平区青少年宫党支部书记、主任、一级教师</w:t>
            </w:r>
          </w:p>
        </w:tc>
      </w:tr>
      <w:tr w:rsidR="00046850" w:rsidRPr="00046850" w:rsidTr="000B44CE">
        <w:tc>
          <w:tcPr>
            <w:tcW w:w="1843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1</w:t>
            </w:r>
            <w:r w:rsidRPr="00046850">
              <w:rPr>
                <w:rFonts w:ascii="仿宋_GB2312" w:eastAsia="仿宋_GB2312" w:hAnsi="仿宋" w:cs="Times New Roman"/>
                <w:kern w:val="2"/>
                <w:sz w:val="32"/>
              </w:rPr>
              <w:t>0</w:t>
            </w: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.樊毫军</w:t>
            </w:r>
          </w:p>
        </w:tc>
        <w:tc>
          <w:tcPr>
            <w:tcW w:w="709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男</w:t>
            </w:r>
          </w:p>
        </w:tc>
        <w:tc>
          <w:tcPr>
            <w:tcW w:w="6400" w:type="dxa"/>
          </w:tcPr>
          <w:p w:rsidR="00046850" w:rsidRPr="00046850" w:rsidRDefault="00046850" w:rsidP="00046850">
            <w:pPr>
              <w:widowControl w:val="0"/>
              <w:spacing w:after="0" w:line="540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046850">
              <w:rPr>
                <w:rFonts w:ascii="仿宋_GB2312" w:eastAsia="仿宋_GB2312" w:hAnsi="仿宋" w:cs="Times New Roman" w:hint="eastAsia"/>
                <w:kern w:val="2"/>
                <w:sz w:val="32"/>
              </w:rPr>
              <w:t>天津大学应急医学研究院常务副院长、天津市救援医学学会常务副会长、教授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74" w:rsidRDefault="004E5174" w:rsidP="00046850">
      <w:pPr>
        <w:spacing w:after="0"/>
      </w:pPr>
      <w:r>
        <w:separator/>
      </w:r>
    </w:p>
  </w:endnote>
  <w:endnote w:type="continuationSeparator" w:id="0">
    <w:p w:rsidR="004E5174" w:rsidRDefault="004E5174" w:rsidP="000468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74" w:rsidRDefault="004E5174" w:rsidP="00046850">
      <w:pPr>
        <w:spacing w:after="0"/>
      </w:pPr>
      <w:r>
        <w:separator/>
      </w:r>
    </w:p>
  </w:footnote>
  <w:footnote w:type="continuationSeparator" w:id="0">
    <w:p w:rsidR="004E5174" w:rsidRDefault="004E5174" w:rsidP="000468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850"/>
    <w:rsid w:val="00323B43"/>
    <w:rsid w:val="003D37D8"/>
    <w:rsid w:val="00426133"/>
    <w:rsid w:val="004358AB"/>
    <w:rsid w:val="004E5174"/>
    <w:rsid w:val="008A2C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8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8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8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85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2022-05-30T08:12:00Z</dcterms:modified>
</cp:coreProperties>
</file>