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4D" w:rsidRDefault="00650C27">
      <w:pPr>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5F7F4D" w:rsidRDefault="00650C27">
      <w:pPr>
        <w:spacing w:line="68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2023年市科协决策咨询课题申报指南</w:t>
      </w:r>
    </w:p>
    <w:p w:rsidR="005F7F4D" w:rsidRDefault="005F7F4D">
      <w:pPr>
        <w:spacing w:line="680" w:lineRule="exact"/>
        <w:ind w:firstLineChars="0" w:firstLine="0"/>
        <w:jc w:val="center"/>
        <w:rPr>
          <w:rFonts w:ascii="方正小标宋简体" w:eastAsia="方正小标宋简体" w:hAnsiTheme="minorEastAsia"/>
          <w:sz w:val="44"/>
          <w:szCs w:val="44"/>
        </w:rPr>
      </w:pPr>
    </w:p>
    <w:tbl>
      <w:tblPr>
        <w:tblW w:w="14805"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4695"/>
        <w:gridCol w:w="9345"/>
      </w:tblGrid>
      <w:tr w:rsidR="005F7F4D">
        <w:trPr>
          <w:trHeight w:val="765"/>
          <w:tblHeader/>
        </w:trPr>
        <w:tc>
          <w:tcPr>
            <w:tcW w:w="765" w:type="dxa"/>
            <w:tcBorders>
              <w:tl2br w:val="nil"/>
              <w:tr2bl w:val="nil"/>
            </w:tcBorders>
            <w:shd w:val="clear" w:color="auto" w:fill="auto"/>
            <w:vAlign w:val="center"/>
          </w:tcPr>
          <w:p w:rsidR="005F7F4D" w:rsidRDefault="00650C27">
            <w:pPr>
              <w:spacing w:line="300" w:lineRule="exact"/>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课题序号</w:t>
            </w:r>
          </w:p>
        </w:tc>
        <w:tc>
          <w:tcPr>
            <w:tcW w:w="4695" w:type="dxa"/>
            <w:tcBorders>
              <w:tl2br w:val="nil"/>
              <w:tr2bl w:val="nil"/>
            </w:tcBorders>
            <w:shd w:val="clear" w:color="000000" w:fill="FFFFFF"/>
            <w:vAlign w:val="center"/>
          </w:tcPr>
          <w:p w:rsidR="005F7F4D" w:rsidRDefault="00650C27">
            <w:pPr>
              <w:ind w:firstLineChars="0" w:firstLine="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课题名称</w:t>
            </w:r>
          </w:p>
        </w:tc>
        <w:tc>
          <w:tcPr>
            <w:tcW w:w="9345" w:type="dxa"/>
            <w:tcBorders>
              <w:tl2br w:val="nil"/>
              <w:tr2bl w:val="nil"/>
            </w:tcBorders>
            <w:shd w:val="clear" w:color="000000" w:fill="FFFFFF"/>
            <w:vAlign w:val="center"/>
          </w:tcPr>
          <w:p w:rsidR="005F7F4D" w:rsidRDefault="00650C27">
            <w:pPr>
              <w:ind w:firstLineChars="0" w:firstLine="0"/>
              <w:jc w:val="center"/>
              <w:rPr>
                <w:rFonts w:ascii="楷体_GB2312" w:eastAsia="楷体_GB2312" w:hAnsi="宋体" w:cs="宋体"/>
                <w:color w:val="000000"/>
                <w:kern w:val="0"/>
                <w:sz w:val="32"/>
                <w:szCs w:val="32"/>
                <w:lang w:val="en"/>
              </w:rPr>
            </w:pPr>
            <w:r>
              <w:rPr>
                <w:rFonts w:ascii="楷体_GB2312" w:eastAsia="楷体_GB2312" w:hAnsi="宋体" w:cs="宋体" w:hint="eastAsia"/>
                <w:color w:val="000000"/>
                <w:kern w:val="0"/>
                <w:sz w:val="32"/>
                <w:szCs w:val="32"/>
              </w:rPr>
              <w:t>课题研究内容</w:t>
            </w:r>
          </w:p>
        </w:tc>
      </w:tr>
      <w:tr w:rsidR="005F7F4D">
        <w:trPr>
          <w:trHeight w:val="10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发展现代科技金融业，助力天津新型金融聚集区（金融街）建设的对策研究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引导和促进金融机构及创业投资等各类资本与科技创新有机结合，发展现代科技金融业，为各发展阶段的科技企业提供融资支持和金融服务的政策、制度，助力本市建设包括但不限于传统空间聚集型金融街的新型金融服务聚集区的创新对策和建议。</w:t>
            </w:r>
          </w:p>
        </w:tc>
      </w:tr>
      <w:tr w:rsidR="005F7F4D">
        <w:trPr>
          <w:trHeight w:val="1918"/>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升级港口特色高端服务业，</w:t>
            </w:r>
            <w:proofErr w:type="gramStart"/>
            <w:r>
              <w:rPr>
                <w:rFonts w:ascii="仿宋_GB2312" w:hAnsi="宋体" w:cs="宋体" w:hint="eastAsia"/>
                <w:color w:val="000000"/>
                <w:kern w:val="0"/>
                <w:sz w:val="24"/>
                <w:szCs w:val="24"/>
              </w:rPr>
              <w:t>助力港产城融合</w:t>
            </w:r>
            <w:proofErr w:type="gramEnd"/>
            <w:r>
              <w:rPr>
                <w:rFonts w:ascii="仿宋_GB2312" w:hAnsi="宋体" w:cs="宋体" w:hint="eastAsia"/>
                <w:color w:val="000000"/>
                <w:kern w:val="0"/>
                <w:sz w:val="24"/>
                <w:szCs w:val="24"/>
              </w:rPr>
              <w:t>发展的对策研究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聚焦现代港航物流、船舶船员、专业服务、航运金融和港</w:t>
            </w:r>
            <w:proofErr w:type="gramStart"/>
            <w:r>
              <w:rPr>
                <w:rFonts w:ascii="仿宋_GB2312" w:hAnsi="宋体" w:cs="宋体" w:hint="eastAsia"/>
                <w:color w:val="000000"/>
                <w:kern w:val="0"/>
                <w:sz w:val="24"/>
                <w:szCs w:val="24"/>
              </w:rPr>
              <w:t>航信息</w:t>
            </w:r>
            <w:proofErr w:type="gramEnd"/>
            <w:r>
              <w:rPr>
                <w:rFonts w:ascii="仿宋_GB2312" w:hAnsi="宋体" w:cs="宋体" w:hint="eastAsia"/>
                <w:color w:val="000000"/>
                <w:kern w:val="0"/>
                <w:sz w:val="24"/>
                <w:szCs w:val="24"/>
              </w:rPr>
              <w:t>等重点领域，研究用好天津港战略资源和优势，大力发展国际中转、船舶修造评级、保税油加注、航运经纪、海事法律、航运保险、航运大数据以及进出口贸易服务等</w:t>
            </w:r>
            <w:proofErr w:type="gramStart"/>
            <w:r>
              <w:rPr>
                <w:rFonts w:ascii="仿宋_GB2312" w:hAnsi="宋体" w:cs="宋体" w:hint="eastAsia"/>
                <w:color w:val="000000"/>
                <w:kern w:val="0"/>
                <w:sz w:val="24"/>
                <w:szCs w:val="24"/>
              </w:rPr>
              <w:t>高端港</w:t>
            </w:r>
            <w:proofErr w:type="gramEnd"/>
            <w:r>
              <w:rPr>
                <w:rFonts w:ascii="仿宋_GB2312" w:hAnsi="宋体" w:cs="宋体" w:hint="eastAsia"/>
                <w:color w:val="000000"/>
                <w:kern w:val="0"/>
                <w:sz w:val="24"/>
                <w:szCs w:val="24"/>
              </w:rPr>
              <w:t>航服务业，加强天津港与环渤海港口协同发展，</w:t>
            </w:r>
            <w:proofErr w:type="gramStart"/>
            <w:r>
              <w:rPr>
                <w:rFonts w:ascii="仿宋_GB2312" w:hAnsi="宋体" w:cs="宋体" w:hint="eastAsia"/>
                <w:color w:val="000000"/>
                <w:kern w:val="0"/>
                <w:sz w:val="24"/>
                <w:szCs w:val="24"/>
              </w:rPr>
              <w:t>织密海</w:t>
            </w:r>
            <w:proofErr w:type="gramEnd"/>
            <w:r>
              <w:rPr>
                <w:rFonts w:ascii="仿宋_GB2312" w:hAnsi="宋体" w:cs="宋体" w:hint="eastAsia"/>
                <w:color w:val="000000"/>
                <w:kern w:val="0"/>
                <w:sz w:val="24"/>
                <w:szCs w:val="24"/>
              </w:rPr>
              <w:t>向远洋航线、陆向海铁联运网络，加强海港、空港协同联动，发展多式联运，推动物流通道升级为发展通道、通道经济升级为港口经济，大力推动港口、产业、城市深度融合、相互支撑、整体发展的对策和建议。</w:t>
            </w:r>
          </w:p>
        </w:tc>
      </w:tr>
      <w:tr w:rsidR="005F7F4D">
        <w:trPr>
          <w:trHeight w:val="1110"/>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开创新领域、打造新高地，建设天津国际消费中心城市的对策研究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立足满足人民群众日益增长的物质、精神、文化等领域的美好生活需要，面向国际、面向未来，研究打造天津国际消费新高地、创造消费新领域、打造消费体验新场景的对策建议。</w:t>
            </w:r>
          </w:p>
        </w:tc>
      </w:tr>
      <w:tr w:rsidR="005F7F4D">
        <w:trPr>
          <w:trHeight w:val="85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科创企业</w:t>
            </w:r>
            <w:proofErr w:type="gramEnd"/>
            <w:r>
              <w:rPr>
                <w:rFonts w:ascii="仿宋_GB2312" w:hAnsi="宋体" w:cs="宋体" w:hint="eastAsia"/>
                <w:color w:val="000000"/>
                <w:kern w:val="0"/>
                <w:sz w:val="24"/>
                <w:szCs w:val="24"/>
              </w:rPr>
              <w:t>在津发展综合成本与营商环境优化的策略研究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从要素、现代科技服务体系、支持政策等角度，研究降低科技成果在津转化落地、</w:t>
            </w:r>
            <w:proofErr w:type="gramStart"/>
            <w:r>
              <w:rPr>
                <w:rFonts w:ascii="仿宋_GB2312" w:hAnsi="宋体" w:cs="宋体" w:hint="eastAsia"/>
                <w:color w:val="000000"/>
                <w:kern w:val="0"/>
                <w:sz w:val="24"/>
                <w:szCs w:val="24"/>
              </w:rPr>
              <w:t>科创企业</w:t>
            </w:r>
            <w:proofErr w:type="gramEnd"/>
            <w:r>
              <w:rPr>
                <w:rFonts w:ascii="仿宋_GB2312" w:hAnsi="宋体" w:cs="宋体" w:hint="eastAsia"/>
                <w:color w:val="000000"/>
                <w:kern w:val="0"/>
                <w:sz w:val="24"/>
                <w:szCs w:val="24"/>
              </w:rPr>
              <w:t>孵化成长综合成本，持续优化营商环境的策略。</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5</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天津市算力建设</w:t>
            </w:r>
            <w:proofErr w:type="gramEnd"/>
            <w:r>
              <w:rPr>
                <w:rFonts w:ascii="仿宋_GB2312" w:hAnsi="宋体" w:cs="宋体" w:hint="eastAsia"/>
                <w:color w:val="000000"/>
                <w:kern w:val="0"/>
                <w:sz w:val="24"/>
                <w:szCs w:val="24"/>
              </w:rPr>
              <w:t>及高效转化应用的对策研究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从调研分析企业数字化、智能化转型需求入手，研究</w:t>
            </w:r>
            <w:proofErr w:type="gramStart"/>
            <w:r>
              <w:rPr>
                <w:rFonts w:ascii="仿宋_GB2312" w:hAnsi="宋体" w:cs="宋体" w:hint="eastAsia"/>
                <w:color w:val="000000"/>
                <w:kern w:val="0"/>
                <w:sz w:val="24"/>
                <w:szCs w:val="24"/>
              </w:rPr>
              <w:t>天津市算力建设</w:t>
            </w:r>
            <w:proofErr w:type="gramEnd"/>
            <w:r>
              <w:rPr>
                <w:rFonts w:ascii="仿宋_GB2312" w:hAnsi="宋体" w:cs="宋体" w:hint="eastAsia"/>
                <w:color w:val="000000"/>
                <w:kern w:val="0"/>
                <w:sz w:val="24"/>
                <w:szCs w:val="24"/>
              </w:rPr>
              <w:t>和市场化高效转化应用的对策建议。</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提升天津市对海河流域洪水等灾害防御对策研究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研究海河流域洪水、地震等常见灾害防灾、减灾、救灾等灾害防御的对策建议。</w:t>
            </w:r>
          </w:p>
        </w:tc>
      </w:tr>
      <w:tr w:rsidR="005F7F4D">
        <w:trPr>
          <w:trHeight w:val="100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中国式现代化背景下天津市公共医疗体制机制创新研究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调研本市公共医疗服务状况，对照中国式现代化背景下人民群众日益增长的美好生活需求，分析查找公共医疗服务的热点、难点、痛点问题，针对体制机制创新，研究提出对策建议。</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智能网联汽车产业与技术发展战略与重大落地项目研究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在全面调研智能网联汽车产业发展的基础上，分析</w:t>
            </w:r>
            <w:proofErr w:type="gramStart"/>
            <w:r>
              <w:rPr>
                <w:rFonts w:ascii="仿宋_GB2312" w:hAnsi="宋体" w:cs="宋体" w:hint="eastAsia"/>
                <w:color w:val="000000"/>
                <w:kern w:val="0"/>
                <w:sz w:val="24"/>
                <w:szCs w:val="24"/>
              </w:rPr>
              <w:t>研</w:t>
            </w:r>
            <w:proofErr w:type="gramEnd"/>
            <w:r>
              <w:rPr>
                <w:rFonts w:ascii="仿宋_GB2312" w:hAnsi="宋体" w:cs="宋体" w:hint="eastAsia"/>
                <w:color w:val="000000"/>
                <w:kern w:val="0"/>
                <w:sz w:val="24"/>
                <w:szCs w:val="24"/>
              </w:rPr>
              <w:t>判本市可实现“弯道超车”的重点环节，针对重点环节提出有关产业、技术发展战略和重大落地项目的对策建议。</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构建全</w:t>
            </w:r>
            <w:proofErr w:type="gramEnd"/>
            <w:r>
              <w:rPr>
                <w:rFonts w:ascii="仿宋_GB2312" w:hAnsi="宋体" w:cs="宋体" w:hint="eastAsia"/>
                <w:color w:val="000000"/>
                <w:kern w:val="0"/>
                <w:sz w:val="24"/>
                <w:szCs w:val="24"/>
              </w:rPr>
              <w:t>链条现代科技服务体系的对策研究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研究、提出构建</w:t>
            </w:r>
            <w:proofErr w:type="gramStart"/>
            <w:r>
              <w:rPr>
                <w:rFonts w:ascii="仿宋_GB2312" w:hAnsi="宋体" w:cs="宋体" w:hint="eastAsia"/>
                <w:color w:val="000000"/>
                <w:kern w:val="0"/>
                <w:sz w:val="24"/>
                <w:szCs w:val="24"/>
              </w:rPr>
              <w:t>包括科创企业</w:t>
            </w:r>
            <w:proofErr w:type="gramEnd"/>
            <w:r>
              <w:rPr>
                <w:rFonts w:ascii="仿宋_GB2312" w:hAnsi="宋体" w:cs="宋体" w:hint="eastAsia"/>
                <w:color w:val="000000"/>
                <w:kern w:val="0"/>
                <w:sz w:val="24"/>
                <w:szCs w:val="24"/>
              </w:rPr>
              <w:t>创业孵化培育服务、技术转移服务、科技金融服务、科技人才服务等全链条现代科技服务体系的对策建议。</w:t>
            </w:r>
          </w:p>
        </w:tc>
      </w:tr>
      <w:tr w:rsidR="005F7F4D">
        <w:trPr>
          <w:trHeight w:val="1267"/>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10</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盘活闲置资源，科技赋能城市更新的对策研究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腾退低效产业，盘活本市存量工业供地、老旧厂房等闲置资源，加强工业遗存保护与利用，优化产业空间，完善产业链与创新链，植入新经济、新业态、新场景，打造科技成果转化、文化旅游等平台，在城市更新中发挥科技赋能提升产业、经济能级作用的对策建议。</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11</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京津</w:t>
            </w:r>
            <w:proofErr w:type="gramStart"/>
            <w:r>
              <w:rPr>
                <w:rFonts w:ascii="仿宋_GB2312" w:hAnsi="宋体" w:cs="宋体" w:hint="eastAsia"/>
                <w:color w:val="000000"/>
                <w:kern w:val="0"/>
                <w:sz w:val="24"/>
                <w:szCs w:val="24"/>
              </w:rPr>
              <w:t>冀产业</w:t>
            </w:r>
            <w:proofErr w:type="gramEnd"/>
            <w:r>
              <w:rPr>
                <w:rFonts w:ascii="仿宋_GB2312" w:hAnsi="宋体" w:cs="宋体" w:hint="eastAsia"/>
                <w:color w:val="000000"/>
                <w:kern w:val="0"/>
                <w:sz w:val="24"/>
                <w:szCs w:val="24"/>
              </w:rPr>
              <w:t>链、创新链对接、协同机制研究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以推动京津</w:t>
            </w:r>
            <w:proofErr w:type="gramStart"/>
            <w:r>
              <w:rPr>
                <w:rFonts w:ascii="仿宋_GB2312" w:hAnsi="宋体" w:cs="宋体" w:hint="eastAsia"/>
                <w:color w:val="000000"/>
                <w:kern w:val="0"/>
                <w:sz w:val="24"/>
                <w:szCs w:val="24"/>
              </w:rPr>
              <w:t>冀强链补链任务</w:t>
            </w:r>
            <w:proofErr w:type="gramEnd"/>
            <w:r>
              <w:rPr>
                <w:rFonts w:ascii="仿宋_GB2312" w:hAnsi="宋体" w:cs="宋体" w:hint="eastAsia"/>
                <w:color w:val="000000"/>
                <w:kern w:val="0"/>
                <w:sz w:val="24"/>
                <w:szCs w:val="24"/>
              </w:rPr>
              <w:t>落地见效为目标，研究进一步强化协同创新、产业协作，加快构建优势互补的区域创新</w:t>
            </w:r>
            <w:proofErr w:type="gramStart"/>
            <w:r>
              <w:rPr>
                <w:rFonts w:ascii="仿宋_GB2312" w:hAnsi="宋体" w:cs="宋体" w:hint="eastAsia"/>
                <w:color w:val="000000"/>
                <w:kern w:val="0"/>
                <w:sz w:val="24"/>
                <w:szCs w:val="24"/>
              </w:rPr>
              <w:t>链产业链供应</w:t>
            </w:r>
            <w:proofErr w:type="gramEnd"/>
            <w:r>
              <w:rPr>
                <w:rFonts w:ascii="仿宋_GB2312" w:hAnsi="宋体" w:cs="宋体" w:hint="eastAsia"/>
                <w:color w:val="000000"/>
                <w:kern w:val="0"/>
                <w:sz w:val="24"/>
                <w:szCs w:val="24"/>
              </w:rPr>
              <w:t>链的对接、协同机制。</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12</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发挥专家学者、专业学会优势，服务重要科学决策的机制研究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发挥专业学会等科技社团人才智力资源优势，研究探索团结组织专家学者，凝聚集体智慧，服务党和政府重要科学决策的新机制、新模式、新途径。</w:t>
            </w:r>
          </w:p>
        </w:tc>
      </w:tr>
      <w:tr w:rsidR="005F7F4D">
        <w:trPr>
          <w:trHeight w:val="76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13</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发挥国际科学传播作用，扩大天津国际影响力对策研究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发挥国际科学传播作用，提出宣传普及本市科技工作者重大创新成果，扩大天津国际影响力的对策。</w:t>
            </w:r>
          </w:p>
        </w:tc>
      </w:tr>
      <w:tr w:rsidR="005F7F4D">
        <w:trPr>
          <w:trHeight w:val="1110"/>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14</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科教、人才、创新驱动发展战略叠加的</w:t>
            </w:r>
            <w:proofErr w:type="gramStart"/>
            <w:r>
              <w:rPr>
                <w:rFonts w:ascii="仿宋_GB2312" w:hAnsi="宋体" w:cs="宋体" w:hint="eastAsia"/>
                <w:color w:val="000000"/>
                <w:kern w:val="0"/>
                <w:sz w:val="24"/>
                <w:szCs w:val="24"/>
              </w:rPr>
              <w:t>落地成效</w:t>
            </w:r>
            <w:proofErr w:type="gramEnd"/>
            <w:r>
              <w:rPr>
                <w:rFonts w:ascii="仿宋_GB2312" w:hAnsi="宋体" w:cs="宋体" w:hint="eastAsia"/>
                <w:color w:val="000000"/>
                <w:kern w:val="0"/>
                <w:sz w:val="24"/>
                <w:szCs w:val="24"/>
              </w:rPr>
              <w:t>倍增机制研究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立足落实党的二十大部署，深</w:t>
            </w:r>
            <w:r>
              <w:rPr>
                <w:rFonts w:ascii="仿宋_GB2312" w:hAnsi="宋体" w:cs="宋体"/>
                <w:color w:val="000000"/>
                <w:kern w:val="0"/>
                <w:sz w:val="24"/>
                <w:szCs w:val="24"/>
                <w:lang w:val="en"/>
              </w:rPr>
              <w:t>20</w:t>
            </w:r>
            <w:r>
              <w:rPr>
                <w:rFonts w:ascii="仿宋_GB2312" w:hAnsi="宋体" w:cs="宋体" w:hint="eastAsia"/>
                <w:color w:val="000000"/>
                <w:kern w:val="0"/>
                <w:sz w:val="24"/>
                <w:szCs w:val="24"/>
              </w:rPr>
              <w:t>入实施科教兴国战略、人才强国战略、创新驱动发展战略，研究三大战略同时发力，相互助力、作用叠加、成效倍增的机制，从理论到实践提出发展新领域新赛道、发展新动能新优势的对策建议。</w:t>
            </w:r>
          </w:p>
        </w:tc>
      </w:tr>
      <w:tr w:rsidR="005F7F4D">
        <w:trPr>
          <w:trHeight w:val="1035"/>
          <w:tblHeader/>
        </w:trPr>
        <w:tc>
          <w:tcPr>
            <w:tcW w:w="765" w:type="dxa"/>
            <w:tcBorders>
              <w:tl2br w:val="nil"/>
              <w:tr2bl w:val="nil"/>
            </w:tcBorders>
            <w:shd w:val="clear" w:color="auto" w:fill="auto"/>
            <w:vAlign w:val="center"/>
          </w:tcPr>
          <w:p w:rsidR="005F7F4D" w:rsidRDefault="00650C27">
            <w:pPr>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15</w:t>
            </w:r>
          </w:p>
        </w:tc>
        <w:tc>
          <w:tcPr>
            <w:tcW w:w="469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引聚东北亚</w:t>
            </w:r>
            <w:proofErr w:type="gramEnd"/>
            <w:r>
              <w:rPr>
                <w:rFonts w:ascii="仿宋_GB2312" w:hAnsi="宋体" w:cs="宋体" w:hint="eastAsia"/>
                <w:color w:val="000000"/>
                <w:kern w:val="0"/>
                <w:sz w:val="24"/>
                <w:szCs w:val="24"/>
              </w:rPr>
              <w:t>科技创新资源，</w:t>
            </w:r>
            <w:proofErr w:type="gramStart"/>
            <w:r>
              <w:rPr>
                <w:rFonts w:ascii="仿宋_GB2312" w:hAnsi="宋体" w:cs="宋体" w:hint="eastAsia"/>
                <w:color w:val="000000"/>
                <w:kern w:val="0"/>
                <w:sz w:val="24"/>
                <w:szCs w:val="24"/>
              </w:rPr>
              <w:t>助力天开园</w:t>
            </w:r>
            <w:proofErr w:type="gramEnd"/>
            <w:r>
              <w:rPr>
                <w:rFonts w:ascii="仿宋_GB2312" w:hAnsi="宋体" w:cs="宋体" w:hint="eastAsia"/>
                <w:color w:val="000000"/>
                <w:kern w:val="0"/>
                <w:sz w:val="24"/>
                <w:szCs w:val="24"/>
              </w:rPr>
              <w:t>科技创新策源地建设的对策研究</w:t>
            </w:r>
          </w:p>
        </w:tc>
        <w:tc>
          <w:tcPr>
            <w:tcW w:w="9345" w:type="dxa"/>
            <w:tcBorders>
              <w:tl2br w:val="nil"/>
              <w:tr2bl w:val="nil"/>
            </w:tcBorders>
            <w:shd w:val="clear" w:color="auto" w:fill="auto"/>
            <w:vAlign w:val="center"/>
          </w:tcPr>
          <w:p w:rsidR="005F7F4D" w:rsidRDefault="00650C27">
            <w:pPr>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立足天开园“科技创新策源地”的功能定位，研究引进、聚集日本、韩国、俄罗斯等东北亚国家的学术新思想、科学新发现、技术新发明、科技新成果、产业新方向，实现突破核心技术、抢占科技高地目标的对策建议。</w:t>
            </w:r>
          </w:p>
        </w:tc>
      </w:tr>
      <w:tr w:rsidR="005F7F4D">
        <w:trPr>
          <w:trHeight w:val="112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区域协同创新系统支撑京津</w:t>
            </w:r>
            <w:proofErr w:type="gramStart"/>
            <w:r>
              <w:rPr>
                <w:rFonts w:ascii="仿宋_GB2312" w:hAnsi="宋体" w:cs="宋体" w:hint="eastAsia"/>
                <w:color w:val="000000"/>
                <w:kern w:val="0"/>
                <w:sz w:val="24"/>
                <w:szCs w:val="24"/>
              </w:rPr>
              <w:t>冀工业</w:t>
            </w:r>
            <w:proofErr w:type="gramEnd"/>
            <w:r>
              <w:rPr>
                <w:rFonts w:ascii="仿宋_GB2312" w:hAnsi="宋体" w:cs="宋体" w:hint="eastAsia"/>
                <w:color w:val="000000"/>
                <w:kern w:val="0"/>
                <w:sz w:val="24"/>
                <w:szCs w:val="24"/>
              </w:rPr>
              <w:t>母机协同创新共同体建设方法路径研究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以天津市工业母机领域为研究主体，以京津</w:t>
            </w:r>
            <w:proofErr w:type="gramStart"/>
            <w:r>
              <w:rPr>
                <w:rFonts w:ascii="仿宋_GB2312" w:hAnsi="宋体" w:cs="宋体" w:hint="eastAsia"/>
                <w:color w:val="000000"/>
                <w:kern w:val="0"/>
                <w:sz w:val="24"/>
                <w:szCs w:val="24"/>
              </w:rPr>
              <w:t>冀区域</w:t>
            </w:r>
            <w:proofErr w:type="gramEnd"/>
            <w:r>
              <w:rPr>
                <w:rFonts w:ascii="仿宋_GB2312" w:hAnsi="宋体" w:cs="宋体" w:hint="eastAsia"/>
                <w:color w:val="000000"/>
                <w:kern w:val="0"/>
                <w:sz w:val="24"/>
                <w:szCs w:val="24"/>
              </w:rPr>
              <w:t>工业母机领域为研究视角，以协同创新发展为切入点，建立区域工业母机领域协同创新复杂系统模型；研究创新赋能、人才支撑产业发展路径，促进天津市“</w:t>
            </w:r>
            <w:proofErr w:type="gramStart"/>
            <w:r>
              <w:rPr>
                <w:rFonts w:ascii="仿宋_GB2312" w:hAnsi="宋体" w:cs="宋体" w:hint="eastAsia"/>
                <w:color w:val="000000"/>
                <w:kern w:val="0"/>
                <w:sz w:val="24"/>
                <w:szCs w:val="24"/>
              </w:rPr>
              <w:t>一</w:t>
            </w:r>
            <w:proofErr w:type="gramEnd"/>
            <w:r>
              <w:rPr>
                <w:rFonts w:ascii="仿宋_GB2312" w:hAnsi="宋体" w:cs="宋体" w:hint="eastAsia"/>
                <w:color w:val="000000"/>
                <w:kern w:val="0"/>
                <w:sz w:val="24"/>
                <w:szCs w:val="24"/>
              </w:rPr>
              <w:t>基地三区”建设。</w:t>
            </w:r>
          </w:p>
        </w:tc>
      </w:tr>
      <w:tr w:rsidR="005F7F4D">
        <w:trPr>
          <w:trHeight w:val="974"/>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依托科技创新基地推动我市高校开展有组织科研的路径与方法研究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建立高校科技创新基地分层分类建设机制，优化结构布局，理顺依托关系，加强基地之间及基地团队间的协同联动，探索高校科技创新基地改革及建设新模式，依托高校科技创新基地推进有组织科研的路径与方法。</w:t>
            </w:r>
          </w:p>
        </w:tc>
      </w:tr>
      <w:tr w:rsidR="005F7F4D">
        <w:trPr>
          <w:trHeight w:val="90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18</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高水平科技</w:t>
            </w:r>
            <w:proofErr w:type="gramStart"/>
            <w:r>
              <w:rPr>
                <w:rFonts w:ascii="仿宋_GB2312" w:hAnsi="宋体" w:cs="宋体" w:hint="eastAsia"/>
                <w:color w:val="000000"/>
                <w:kern w:val="0"/>
                <w:sz w:val="24"/>
                <w:szCs w:val="24"/>
              </w:rPr>
              <w:t>创新智库建设</w:t>
            </w:r>
            <w:proofErr w:type="gramEnd"/>
            <w:r>
              <w:rPr>
                <w:rFonts w:ascii="仿宋_GB2312" w:hAnsi="宋体" w:cs="宋体" w:hint="eastAsia"/>
                <w:color w:val="000000"/>
                <w:kern w:val="0"/>
                <w:sz w:val="24"/>
                <w:szCs w:val="24"/>
              </w:rPr>
              <w:t>模式与提升路径研究</w:t>
            </w:r>
          </w:p>
        </w:tc>
        <w:tc>
          <w:tcPr>
            <w:tcW w:w="934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通过对本市及国内部分省市科技创新</w:t>
            </w:r>
            <w:proofErr w:type="gramStart"/>
            <w:r>
              <w:rPr>
                <w:rFonts w:ascii="仿宋_GB2312" w:hAnsi="宋体" w:cs="宋体" w:hint="eastAsia"/>
                <w:color w:val="000000"/>
                <w:kern w:val="0"/>
                <w:sz w:val="24"/>
                <w:szCs w:val="24"/>
              </w:rPr>
              <w:t>智库发展</w:t>
            </w:r>
            <w:proofErr w:type="gramEnd"/>
            <w:r>
              <w:rPr>
                <w:rFonts w:ascii="仿宋_GB2312" w:hAnsi="宋体" w:cs="宋体" w:hint="eastAsia"/>
                <w:color w:val="000000"/>
                <w:kern w:val="0"/>
                <w:sz w:val="24"/>
                <w:szCs w:val="24"/>
              </w:rPr>
              <w:t>现状、特点等情况的调研，梳理本市科技</w:t>
            </w:r>
            <w:proofErr w:type="gramStart"/>
            <w:r>
              <w:rPr>
                <w:rFonts w:ascii="仿宋_GB2312" w:hAnsi="宋体" w:cs="宋体" w:hint="eastAsia"/>
                <w:color w:val="000000"/>
                <w:kern w:val="0"/>
                <w:sz w:val="24"/>
                <w:szCs w:val="24"/>
              </w:rPr>
              <w:t>创新智库建设</w:t>
            </w:r>
            <w:proofErr w:type="gramEnd"/>
            <w:r>
              <w:rPr>
                <w:rFonts w:ascii="仿宋_GB2312" w:hAnsi="宋体" w:cs="宋体" w:hint="eastAsia"/>
                <w:color w:val="000000"/>
                <w:kern w:val="0"/>
                <w:sz w:val="24"/>
                <w:szCs w:val="24"/>
              </w:rPr>
              <w:t>的基础条件及优势，总结问题和不足，探索高水平科技</w:t>
            </w:r>
            <w:proofErr w:type="gramStart"/>
            <w:r>
              <w:rPr>
                <w:rFonts w:ascii="仿宋_GB2312" w:hAnsi="宋体" w:cs="宋体" w:hint="eastAsia"/>
                <w:color w:val="000000"/>
                <w:kern w:val="0"/>
                <w:sz w:val="24"/>
                <w:szCs w:val="24"/>
              </w:rPr>
              <w:t>创新智库建设</w:t>
            </w:r>
            <w:proofErr w:type="gramEnd"/>
            <w:r>
              <w:rPr>
                <w:rFonts w:ascii="仿宋_GB2312" w:hAnsi="宋体" w:cs="宋体" w:hint="eastAsia"/>
                <w:color w:val="000000"/>
                <w:kern w:val="0"/>
                <w:sz w:val="24"/>
                <w:szCs w:val="24"/>
              </w:rPr>
              <w:t>模式，提出天津市高水平科技</w:t>
            </w:r>
            <w:proofErr w:type="gramStart"/>
            <w:r>
              <w:rPr>
                <w:rFonts w:ascii="仿宋_GB2312" w:hAnsi="宋体" w:cs="宋体" w:hint="eastAsia"/>
                <w:color w:val="000000"/>
                <w:kern w:val="0"/>
                <w:sz w:val="24"/>
                <w:szCs w:val="24"/>
              </w:rPr>
              <w:t>创新智库建设</w:t>
            </w:r>
            <w:proofErr w:type="gramEnd"/>
            <w:r>
              <w:rPr>
                <w:rFonts w:ascii="仿宋_GB2312" w:hAnsi="宋体" w:cs="宋体" w:hint="eastAsia"/>
                <w:color w:val="000000"/>
                <w:kern w:val="0"/>
                <w:sz w:val="24"/>
                <w:szCs w:val="24"/>
              </w:rPr>
              <w:t>的对策建议。</w:t>
            </w:r>
          </w:p>
        </w:tc>
      </w:tr>
      <w:tr w:rsidR="005F7F4D">
        <w:trPr>
          <w:trHeight w:val="73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智能科技防范重大风险策略研究——以商业银行为例</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研究商业银行尾部风险发生的影响因素和传染路径，分析数字金融发展对商业银行尾部风险传染的影响机制，提出智能科技防范商业银行重大风险、提高银行监管效率的策略。</w:t>
            </w:r>
          </w:p>
        </w:tc>
      </w:tr>
      <w:tr w:rsidR="005F7F4D">
        <w:trPr>
          <w:trHeight w:val="78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专精特新企业引领天津市制造业高质量发展的实现机制研究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研究“建设制造强国”和天津“制造业立市”政策背景下，总结专精特新企业引领本市制造业高质量发展的路径，提出专精特新企业培育和制造业高质量发展的政策建议。</w:t>
            </w:r>
          </w:p>
        </w:tc>
      </w:tr>
      <w:tr w:rsidR="005F7F4D">
        <w:trPr>
          <w:trHeight w:val="94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“双碳”目标下低碳生活方式的科学传播和普及探索</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调研不同人群绿色低碳生活方式认知、现状和制约因素，整合有针对性的绿色低碳科普内容，提出有效易行的科普策略、方法和路径，形成绿色低碳生活专项行动方案，推动低碳生活方式的落地。</w:t>
            </w:r>
          </w:p>
        </w:tc>
      </w:tr>
      <w:tr w:rsidR="005F7F4D">
        <w:trPr>
          <w:trHeight w:val="109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22</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基于代际阅读</w:t>
            </w:r>
            <w:proofErr w:type="gramStart"/>
            <w:r>
              <w:rPr>
                <w:rFonts w:ascii="仿宋_GB2312" w:hAnsi="宋体" w:cs="宋体" w:hint="eastAsia"/>
                <w:color w:val="000000"/>
                <w:kern w:val="0"/>
                <w:sz w:val="24"/>
                <w:szCs w:val="24"/>
              </w:rPr>
              <w:t>的场域共享</w:t>
            </w:r>
            <w:proofErr w:type="gramEnd"/>
            <w:r>
              <w:rPr>
                <w:rFonts w:ascii="仿宋_GB2312" w:hAnsi="宋体" w:cs="宋体" w:hint="eastAsia"/>
                <w:color w:val="000000"/>
                <w:kern w:val="0"/>
                <w:sz w:val="24"/>
                <w:szCs w:val="24"/>
              </w:rPr>
              <w:t>空间塑造研究</w:t>
            </w:r>
          </w:p>
        </w:tc>
        <w:tc>
          <w:tcPr>
            <w:tcW w:w="934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厘清公共图书馆</w:t>
            </w:r>
            <w:proofErr w:type="gramStart"/>
            <w:r>
              <w:rPr>
                <w:rFonts w:ascii="仿宋_GB2312" w:hAnsi="宋体" w:cs="宋体" w:hint="eastAsia"/>
                <w:color w:val="000000"/>
                <w:kern w:val="0"/>
                <w:sz w:val="24"/>
                <w:szCs w:val="24"/>
              </w:rPr>
              <w:t>塑造场域</w:t>
            </w:r>
            <w:proofErr w:type="gramEnd"/>
            <w:r>
              <w:rPr>
                <w:rFonts w:ascii="仿宋_GB2312" w:hAnsi="宋体" w:cs="宋体" w:hint="eastAsia"/>
                <w:color w:val="000000"/>
                <w:kern w:val="0"/>
                <w:sz w:val="24"/>
                <w:szCs w:val="24"/>
              </w:rPr>
              <w:t>阅读空间为代际阅读服务的理论逻辑，调查梳理本市图书馆代际阅读的政策、现状和困境，学习借鉴国内外先进经验，提出本市公共图书馆塑造智慧化代际阅读空间的路径和有效机制。</w:t>
            </w:r>
          </w:p>
        </w:tc>
      </w:tr>
      <w:tr w:rsidR="005F7F4D">
        <w:trPr>
          <w:trHeight w:val="130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推进天津市地下空间资源开发利用的对策研究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地下空间资源开发利用现状，总结国内外创新成果及先进经验，提出地下空间连通方式及总体要求，分析确定本市地下空间开发利用的突破口和交叉节点，分类形成地下空间开发项目及总体操作流程，提出构建安全、合作、共享的地下空间网络体系的政策建议。</w:t>
            </w:r>
          </w:p>
        </w:tc>
      </w:tr>
      <w:tr w:rsidR="005F7F4D">
        <w:trPr>
          <w:trHeight w:val="108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高校学术型专利的工程化实践与服务区域经济探索</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深入调研基础研究类和前沿科技类科技成果转化、工程化、产业化的现状、问题，提出大学科技园运营模式以及破解科技成果转化短板的政策手段与资源配置方式的对策建议。</w:t>
            </w:r>
          </w:p>
        </w:tc>
      </w:tr>
      <w:tr w:rsidR="005F7F4D">
        <w:trPr>
          <w:trHeight w:val="844"/>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双碳背景</w:t>
            </w:r>
            <w:proofErr w:type="gramEnd"/>
            <w:r>
              <w:rPr>
                <w:rFonts w:ascii="仿宋_GB2312" w:hAnsi="宋体" w:cs="宋体" w:hint="eastAsia"/>
                <w:color w:val="000000"/>
                <w:kern w:val="0"/>
                <w:sz w:val="24"/>
                <w:szCs w:val="24"/>
              </w:rPr>
              <w:t>下天津市生态环保产业发展现状与模式研究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调研天津市生态环保产业的现状，分析产业发展模式与存在问题，针对缺少自主创新关键技术、自主研发核心产品、自主品牌等问题提出创新探索与对策建议。</w:t>
            </w:r>
          </w:p>
        </w:tc>
      </w:tr>
      <w:tr w:rsidR="005F7F4D">
        <w:trPr>
          <w:trHeight w:val="112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26</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社会心理服务体系视角下我市党建引领基层治理能力现代化的创新探究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社区党组织、基层治理的内容和现状，党建引领基层治理的方法手段，社会心理服务应用于基层治理和助力党建工作、多元共治等基本情况，统计分析提出社会心理服务体系嵌入党建引领、提升智力效能的对策建议。</w:t>
            </w:r>
          </w:p>
        </w:tc>
      </w:tr>
      <w:tr w:rsidR="005F7F4D">
        <w:trPr>
          <w:trHeight w:val="83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基于类</w:t>
            </w:r>
            <w:proofErr w:type="spellStart"/>
            <w:proofErr w:type="gramEnd"/>
            <w:r>
              <w:rPr>
                <w:rFonts w:ascii="仿宋_GB2312" w:hAnsi="宋体" w:cs="宋体" w:hint="eastAsia"/>
                <w:color w:val="000000"/>
                <w:kern w:val="0"/>
                <w:sz w:val="24"/>
                <w:szCs w:val="24"/>
              </w:rPr>
              <w:t>ChatGPT</w:t>
            </w:r>
            <w:proofErr w:type="spellEnd"/>
            <w:r>
              <w:rPr>
                <w:rFonts w:ascii="仿宋_GB2312" w:hAnsi="宋体" w:cs="宋体" w:hint="eastAsia"/>
                <w:color w:val="000000"/>
                <w:kern w:val="0"/>
                <w:sz w:val="24"/>
                <w:szCs w:val="24"/>
              </w:rPr>
              <w:t>人工智能技术推进城市交通治理模式创新点对策研究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研究应用类</w:t>
            </w:r>
            <w:proofErr w:type="spellStart"/>
            <w:r>
              <w:rPr>
                <w:rFonts w:ascii="仿宋_GB2312" w:hAnsi="宋体" w:cs="宋体" w:hint="eastAsia"/>
                <w:color w:val="000000"/>
                <w:kern w:val="0"/>
                <w:sz w:val="24"/>
                <w:szCs w:val="24"/>
              </w:rPr>
              <w:t>ChatGPT</w:t>
            </w:r>
            <w:proofErr w:type="spellEnd"/>
            <w:r>
              <w:rPr>
                <w:rFonts w:ascii="仿宋_GB2312" w:hAnsi="宋体" w:cs="宋体" w:hint="eastAsia"/>
                <w:color w:val="000000"/>
                <w:kern w:val="0"/>
                <w:sz w:val="24"/>
                <w:szCs w:val="24"/>
              </w:rPr>
              <w:t>人工智能技术，破解城市交通治理难题，创新治理模式，提高智能化分析水平，实现实时精准分析、动态优化的方法路径、对策建议。</w:t>
            </w:r>
          </w:p>
        </w:tc>
      </w:tr>
      <w:tr w:rsidR="005F7F4D">
        <w:trPr>
          <w:trHeight w:val="112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关于培养智慧航运高素质人才，助力天津北方国际航运枢纽建设的对策建议</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分析高</w:t>
            </w:r>
            <w:proofErr w:type="gramEnd"/>
            <w:r>
              <w:rPr>
                <w:rFonts w:ascii="仿宋_GB2312" w:hAnsi="宋体" w:cs="宋体" w:hint="eastAsia"/>
                <w:color w:val="000000"/>
                <w:kern w:val="0"/>
                <w:sz w:val="24"/>
                <w:szCs w:val="24"/>
              </w:rPr>
              <w:t>素质航运人才培养面临的主要问题，研究加快培养高素质航运人才的路径、机制，提出完善培养高素质航运人才培养体系，打造航运职业教育高地，助力天津北方国际航运枢纽建设的对策建议。</w:t>
            </w:r>
          </w:p>
        </w:tc>
      </w:tr>
      <w:tr w:rsidR="005F7F4D">
        <w:trPr>
          <w:trHeight w:val="100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29</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天津科学技术馆应急科普实践与探索研究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以天津科技馆为例，以提升专业科普场馆、科普教育基地应急科普能力为目标，系统研究专业科普场馆应急科普研究、展区建设、活动开发、专家资源、人才培育、宣传推广，提出应急科普工作对策建议。</w:t>
            </w:r>
          </w:p>
        </w:tc>
      </w:tr>
      <w:tr w:rsidR="005F7F4D">
        <w:trPr>
          <w:trHeight w:val="111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30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提升天津市工业机器人产业创新能力的路径研究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以本市工业机器人产业为研究对象，调研产业发展现状、存在问题及相关掌握核心技术的企业，研究产业创新模式，制定从理论基础研究、关键技术突破到产业应用落地全链条规划和战略，提出工业机器人核心技术自主可控的具体对策建议。</w:t>
            </w:r>
          </w:p>
        </w:tc>
      </w:tr>
      <w:tr w:rsidR="005F7F4D">
        <w:trPr>
          <w:trHeight w:val="97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制造企业数字场景创新建设对策研究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围绕制造类企业数字场景建设，研究利用新一代信息通信技术对企业业务流程、规则、对象进行数字化改造、优化、重塑，提出推动数字技术与实体经济深入融合、赋能传统产业转型升级的对策建议。</w:t>
            </w:r>
          </w:p>
        </w:tc>
      </w:tr>
      <w:tr w:rsidR="005F7F4D">
        <w:trPr>
          <w:trHeight w:val="999"/>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新形势下推动高校科研组织模式变革的实施路径研究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以教育、科技、人才协同发展为切入点，分析高校总体科技创新的新形势，调研当前高校科研组织都主要问题，剖析原因，提出与中国式现代化建设相适应的高校科研组织模式和实施路径。</w:t>
            </w:r>
          </w:p>
        </w:tc>
      </w:tr>
      <w:tr w:rsidR="005F7F4D">
        <w:trPr>
          <w:trHeight w:val="111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大数据背景下京津冀农产品智慧物流体系协同发展研究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调研京津</w:t>
            </w:r>
            <w:proofErr w:type="gramStart"/>
            <w:r>
              <w:rPr>
                <w:rFonts w:ascii="仿宋_GB2312" w:hAnsi="宋体" w:cs="宋体" w:hint="eastAsia"/>
                <w:color w:val="000000"/>
                <w:kern w:val="0"/>
                <w:sz w:val="24"/>
                <w:szCs w:val="24"/>
              </w:rPr>
              <w:t>冀区域</w:t>
            </w:r>
            <w:proofErr w:type="gramEnd"/>
            <w:r>
              <w:rPr>
                <w:rFonts w:ascii="仿宋_GB2312" w:hAnsi="宋体" w:cs="宋体" w:hint="eastAsia"/>
                <w:color w:val="000000"/>
                <w:kern w:val="0"/>
                <w:sz w:val="24"/>
                <w:szCs w:val="24"/>
              </w:rPr>
              <w:t>内农产品智慧物流发展与体系构建现状，研究国家关于农产品智慧物流体系建设政策导向、大数据的支持及影响，提出基于大数据京津</w:t>
            </w:r>
            <w:proofErr w:type="gramStart"/>
            <w:r>
              <w:rPr>
                <w:rFonts w:ascii="仿宋_GB2312" w:hAnsi="宋体" w:cs="宋体" w:hint="eastAsia"/>
                <w:color w:val="000000"/>
                <w:kern w:val="0"/>
                <w:sz w:val="24"/>
                <w:szCs w:val="24"/>
              </w:rPr>
              <w:t>冀区域</w:t>
            </w:r>
            <w:proofErr w:type="gramEnd"/>
            <w:r>
              <w:rPr>
                <w:rFonts w:ascii="仿宋_GB2312" w:hAnsi="宋体" w:cs="宋体" w:hint="eastAsia"/>
                <w:color w:val="000000"/>
                <w:kern w:val="0"/>
                <w:sz w:val="24"/>
                <w:szCs w:val="24"/>
              </w:rPr>
              <w:t>内农产品智慧物流体系的设计及运行模式。</w:t>
            </w:r>
          </w:p>
        </w:tc>
      </w:tr>
      <w:tr w:rsidR="005F7F4D">
        <w:trPr>
          <w:trHeight w:val="84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天津稻米品牌化建设促进产业结构升级研究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调研天津稻米产业品牌化建设现状、问题，开展品牌化建设与产业升级互动原理分析、协同效应分析，提出品牌化建设促进产业结构升级路径、策划研究。</w:t>
            </w:r>
          </w:p>
        </w:tc>
      </w:tr>
      <w:tr w:rsidR="005F7F4D">
        <w:trPr>
          <w:trHeight w:val="91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天津高校科研人员数字素养研究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开展问卷调查，了解本市高校科研人员数字素养现状，分析政府政策、高校管理、科研人员自身等因素对数字素养的影响机理及组态效应，提出提升高校科研人员数字素养水平、推动科研创新动力的对策建议。</w:t>
            </w:r>
          </w:p>
        </w:tc>
      </w:tr>
      <w:tr w:rsidR="005F7F4D">
        <w:trPr>
          <w:trHeight w:val="98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36</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新时代天津市农业科技工作者现状调查与面临问题研究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开展实地调研，了解新时代本市农业科技工作者科研、工作、生活等方面的新状况、新问题和实际需求，提出加强本市农业科技工作者队伍建设，助力农业科技工作者能力提升的路径、对策。</w:t>
            </w:r>
          </w:p>
        </w:tc>
      </w:tr>
      <w:tr w:rsidR="005F7F4D">
        <w:trPr>
          <w:trHeight w:val="85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37</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适老智慧</w:t>
            </w:r>
            <w:proofErr w:type="gramEnd"/>
            <w:r>
              <w:rPr>
                <w:rFonts w:ascii="仿宋_GB2312" w:hAnsi="宋体" w:cs="宋体" w:hint="eastAsia"/>
                <w:color w:val="000000"/>
                <w:kern w:val="0"/>
                <w:sz w:val="24"/>
                <w:szCs w:val="24"/>
              </w:rPr>
              <w:t>社区场景和服务模式研究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调研老年人对智慧社区的需求，以及本市智慧社区发展中适应老年群体的现状、存在问题，研究智慧</w:t>
            </w:r>
            <w:proofErr w:type="gramStart"/>
            <w:r>
              <w:rPr>
                <w:rFonts w:ascii="仿宋_GB2312" w:hAnsi="宋体" w:cs="宋体" w:hint="eastAsia"/>
                <w:color w:val="000000"/>
                <w:kern w:val="0"/>
                <w:sz w:val="24"/>
                <w:szCs w:val="24"/>
              </w:rPr>
              <w:t>社区适老服务</w:t>
            </w:r>
            <w:proofErr w:type="gramEnd"/>
            <w:r>
              <w:rPr>
                <w:rFonts w:ascii="仿宋_GB2312" w:hAnsi="宋体" w:cs="宋体" w:hint="eastAsia"/>
                <w:color w:val="000000"/>
                <w:kern w:val="0"/>
                <w:sz w:val="24"/>
                <w:szCs w:val="24"/>
              </w:rPr>
              <w:t>场景和服务模式。</w:t>
            </w:r>
          </w:p>
        </w:tc>
      </w:tr>
      <w:tr w:rsidR="005F7F4D">
        <w:trPr>
          <w:trHeight w:val="841"/>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38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发挥高校</w:t>
            </w:r>
            <w:proofErr w:type="gramStart"/>
            <w:r>
              <w:rPr>
                <w:rFonts w:ascii="仿宋_GB2312" w:hAnsi="宋体" w:cs="宋体" w:hint="eastAsia"/>
                <w:color w:val="000000"/>
                <w:kern w:val="0"/>
                <w:sz w:val="24"/>
                <w:szCs w:val="24"/>
              </w:rPr>
              <w:t>智库优势</w:t>
            </w:r>
            <w:proofErr w:type="gramEnd"/>
            <w:r>
              <w:rPr>
                <w:rFonts w:ascii="仿宋_GB2312" w:hAnsi="宋体" w:cs="宋体" w:hint="eastAsia"/>
                <w:color w:val="000000"/>
                <w:kern w:val="0"/>
                <w:sz w:val="24"/>
                <w:szCs w:val="24"/>
              </w:rPr>
              <w:t>推动我市实现科教兴市人才强市战略对策研究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调研本市高校</w:t>
            </w:r>
            <w:proofErr w:type="gramStart"/>
            <w:r>
              <w:rPr>
                <w:rFonts w:ascii="仿宋_GB2312" w:hAnsi="宋体" w:cs="宋体" w:hint="eastAsia"/>
                <w:color w:val="000000"/>
                <w:kern w:val="0"/>
                <w:sz w:val="24"/>
                <w:szCs w:val="24"/>
              </w:rPr>
              <w:t>智库推动</w:t>
            </w:r>
            <w:proofErr w:type="gramEnd"/>
            <w:r>
              <w:rPr>
                <w:rFonts w:ascii="仿宋_GB2312" w:hAnsi="宋体" w:cs="宋体" w:hint="eastAsia"/>
                <w:color w:val="000000"/>
                <w:kern w:val="0"/>
                <w:sz w:val="24"/>
                <w:szCs w:val="24"/>
              </w:rPr>
              <w:t>科教兴市人才强市战略实施的现状和存在问题，分析原因，提出加强高校</w:t>
            </w:r>
            <w:proofErr w:type="gramStart"/>
            <w:r>
              <w:rPr>
                <w:rFonts w:ascii="仿宋_GB2312" w:hAnsi="宋体" w:cs="宋体" w:hint="eastAsia"/>
                <w:color w:val="000000"/>
                <w:kern w:val="0"/>
                <w:sz w:val="24"/>
                <w:szCs w:val="24"/>
              </w:rPr>
              <w:t>智库推动</w:t>
            </w:r>
            <w:proofErr w:type="gramEnd"/>
            <w:r>
              <w:rPr>
                <w:rFonts w:ascii="仿宋_GB2312" w:hAnsi="宋体" w:cs="宋体" w:hint="eastAsia"/>
                <w:color w:val="000000"/>
                <w:kern w:val="0"/>
                <w:sz w:val="24"/>
                <w:szCs w:val="24"/>
              </w:rPr>
              <w:t>科教兴市人才强市战略作用的对策建议。</w:t>
            </w:r>
          </w:p>
        </w:tc>
      </w:tr>
      <w:tr w:rsidR="005F7F4D">
        <w:trPr>
          <w:trHeight w:val="96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39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基于国际港口的天津冷链物流产业低碳高效发展研究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分析国际港口冷链物流产业的现状、特定、优势、挑战以及与天津冷链物流产业的比较、差距，研究国际港口冷链物流产业的低碳高效发展模式、路径和策略，提出天津冷链物流产业的预测、目标、措施和建议。</w:t>
            </w:r>
          </w:p>
        </w:tc>
      </w:tr>
      <w:tr w:rsidR="005F7F4D">
        <w:trPr>
          <w:trHeight w:val="130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数字经济发展背景下企业金融化对企业创新的影响研究——基于京津冀地区的实证研究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分析实体企业金融化动机，探索构建跨期融资约束影响下的企业最优投资模型，为企业金融化适度性甄别提供理论支撑；研究企业金融化适度性对企业创新的影响，剖析其作用机制；研究数字经济发展对企业金融化和企业创新的影响，验证其治理效果。</w:t>
            </w:r>
          </w:p>
        </w:tc>
      </w:tr>
      <w:tr w:rsidR="005F7F4D">
        <w:trPr>
          <w:trHeight w:val="111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天津市高校科普人才现状调研与能力提升路径研究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调研本市高校科普人才培养现状、模式、存在问题，研究建立高校科协组织统筹开展高校科普工作的必要性、可行性，建立高校科普工作制度规范，提出高校科普人才培养、能力提升的方法、路径。</w:t>
            </w:r>
          </w:p>
        </w:tc>
      </w:tr>
      <w:tr w:rsidR="005F7F4D">
        <w:trPr>
          <w:trHeight w:val="127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天津市基层科普载体社会化协同实现路径研究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调研本市基层科普载体社会化协同实践状况及存在问题，研究基层科普载体多元协同的形成机制，提出吸引多元主体参与建设科普载体、拓展投入渠道，建立完善数字科普载体社会协同平台，建立服务规范、协同评价、能效年报制度和激励机制的对策建议。</w:t>
            </w:r>
          </w:p>
        </w:tc>
      </w:tr>
      <w:tr w:rsidR="005F7F4D">
        <w:trPr>
          <w:trHeight w:val="140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京津冀协同发展背景下科技创新政策协同机制研究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收集国家和京津冀三地的科技创新政策，建立京津</w:t>
            </w:r>
            <w:proofErr w:type="gramStart"/>
            <w:r>
              <w:rPr>
                <w:rFonts w:ascii="仿宋_GB2312" w:hAnsi="宋体" w:cs="宋体" w:hint="eastAsia"/>
                <w:color w:val="000000"/>
                <w:kern w:val="0"/>
                <w:sz w:val="24"/>
                <w:szCs w:val="24"/>
              </w:rPr>
              <w:t>冀科技</w:t>
            </w:r>
            <w:proofErr w:type="gramEnd"/>
            <w:r>
              <w:rPr>
                <w:rFonts w:ascii="仿宋_GB2312" w:hAnsi="宋体" w:cs="宋体" w:hint="eastAsia"/>
                <w:color w:val="000000"/>
                <w:kern w:val="0"/>
                <w:sz w:val="24"/>
                <w:szCs w:val="24"/>
              </w:rPr>
              <w:t>创新政策数据库，分析京津</w:t>
            </w:r>
            <w:proofErr w:type="gramStart"/>
            <w:r>
              <w:rPr>
                <w:rFonts w:ascii="仿宋_GB2312" w:hAnsi="宋体" w:cs="宋体" w:hint="eastAsia"/>
                <w:color w:val="000000"/>
                <w:kern w:val="0"/>
                <w:sz w:val="24"/>
                <w:szCs w:val="24"/>
              </w:rPr>
              <w:t>冀科技</w:t>
            </w:r>
            <w:proofErr w:type="gramEnd"/>
            <w:r>
              <w:rPr>
                <w:rFonts w:ascii="仿宋_GB2312" w:hAnsi="宋体" w:cs="宋体" w:hint="eastAsia"/>
                <w:color w:val="000000"/>
                <w:kern w:val="0"/>
                <w:sz w:val="24"/>
                <w:szCs w:val="24"/>
              </w:rPr>
              <w:t>创新政策的关注焦点和发展趋势，构建京津</w:t>
            </w:r>
            <w:proofErr w:type="gramStart"/>
            <w:r>
              <w:rPr>
                <w:rFonts w:ascii="仿宋_GB2312" w:hAnsi="宋体" w:cs="宋体" w:hint="eastAsia"/>
                <w:color w:val="000000"/>
                <w:kern w:val="0"/>
                <w:sz w:val="24"/>
                <w:szCs w:val="24"/>
              </w:rPr>
              <w:t>冀科技</w:t>
            </w:r>
            <w:proofErr w:type="gramEnd"/>
            <w:r>
              <w:rPr>
                <w:rFonts w:ascii="仿宋_GB2312" w:hAnsi="宋体" w:cs="宋体" w:hint="eastAsia"/>
                <w:color w:val="000000"/>
                <w:kern w:val="0"/>
                <w:sz w:val="24"/>
                <w:szCs w:val="24"/>
              </w:rPr>
              <w:t>创新政策协同评价模型，探索政策主体、措施、目标的协同机制，提出促进政策主体合作、政策措施协调、政策目标实现的可操作性政策建议。</w:t>
            </w:r>
          </w:p>
        </w:tc>
      </w:tr>
      <w:tr w:rsidR="005F7F4D">
        <w:trPr>
          <w:trHeight w:val="114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提升天津市中小科技型制造企业突破性创新驱动力及实现高质量发展的对策</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剖析本市制造业示范企业的优势及取得突破性创新的原因，对照国内外成功企业对比查找本市科技型中小企业的问题和不足，从企业突破性创新机制、创新效率和监管体制等方面提出提升企业突破性创新驱动力和高质量发展的对策建议。</w:t>
            </w:r>
          </w:p>
        </w:tc>
      </w:tr>
      <w:tr w:rsidR="005F7F4D">
        <w:trPr>
          <w:trHeight w:val="111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45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w:t>
            </w:r>
            <w:proofErr w:type="gramStart"/>
            <w:r>
              <w:rPr>
                <w:rFonts w:ascii="仿宋_GB2312" w:hAnsi="宋体" w:cs="宋体" w:hint="eastAsia"/>
                <w:color w:val="000000"/>
                <w:kern w:val="0"/>
                <w:sz w:val="24"/>
                <w:szCs w:val="24"/>
              </w:rPr>
              <w:t>信创产业</w:t>
            </w:r>
            <w:proofErr w:type="gramEnd"/>
            <w:r>
              <w:rPr>
                <w:rFonts w:ascii="仿宋_GB2312" w:hAnsi="宋体" w:cs="宋体" w:hint="eastAsia"/>
                <w:color w:val="000000"/>
                <w:kern w:val="0"/>
                <w:sz w:val="24"/>
                <w:szCs w:val="24"/>
              </w:rPr>
              <w:t>大数据人才需求调研分析</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开展新创产业对大数据人才在专业知识与技能、综合能力与素质等重点方面需求的访谈调查和问卷调查，基于调查的统计分析和数据分析，挖掘凝练本市</w:t>
            </w:r>
            <w:proofErr w:type="gramStart"/>
            <w:r>
              <w:rPr>
                <w:rFonts w:ascii="仿宋_GB2312" w:hAnsi="宋体" w:cs="宋体" w:hint="eastAsia"/>
                <w:color w:val="000000"/>
                <w:kern w:val="0"/>
                <w:sz w:val="24"/>
                <w:szCs w:val="24"/>
              </w:rPr>
              <w:t>信创产业</w:t>
            </w:r>
            <w:proofErr w:type="gramEnd"/>
            <w:r>
              <w:rPr>
                <w:rFonts w:ascii="仿宋_GB2312" w:hAnsi="宋体" w:cs="宋体" w:hint="eastAsia"/>
                <w:color w:val="000000"/>
                <w:kern w:val="0"/>
                <w:sz w:val="24"/>
                <w:szCs w:val="24"/>
              </w:rPr>
              <w:t>对大数据人才的实际需求，为本市大数据人才培养和</w:t>
            </w:r>
            <w:proofErr w:type="gramStart"/>
            <w:r>
              <w:rPr>
                <w:rFonts w:ascii="仿宋_GB2312" w:hAnsi="宋体" w:cs="宋体" w:hint="eastAsia"/>
                <w:color w:val="000000"/>
                <w:kern w:val="0"/>
                <w:sz w:val="24"/>
                <w:szCs w:val="24"/>
              </w:rPr>
              <w:t>信创产业</w:t>
            </w:r>
            <w:proofErr w:type="gramEnd"/>
            <w:r>
              <w:rPr>
                <w:rFonts w:ascii="仿宋_GB2312" w:hAnsi="宋体" w:cs="宋体" w:hint="eastAsia"/>
                <w:color w:val="000000"/>
                <w:kern w:val="0"/>
                <w:sz w:val="24"/>
                <w:szCs w:val="24"/>
              </w:rPr>
              <w:t>融合发展提供有效支撑。</w:t>
            </w:r>
          </w:p>
        </w:tc>
      </w:tr>
      <w:tr w:rsidR="005F7F4D">
        <w:trPr>
          <w:trHeight w:val="168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信息化赋能探索党建引领基层治理“智治”新途径</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针对基层社会治理信息充分收集、数据资源分散、条块分割、多头办理等问题，围绕基层党组织、政府、社会组织、居民村民、社区商户等多元主体，从组织、业务、数据等维度，研究提出党建</w:t>
            </w:r>
            <w:proofErr w:type="gramStart"/>
            <w:r>
              <w:rPr>
                <w:rFonts w:ascii="仿宋_GB2312" w:hAnsi="宋体" w:cs="宋体" w:hint="eastAsia"/>
                <w:color w:val="000000"/>
                <w:kern w:val="0"/>
                <w:sz w:val="24"/>
                <w:szCs w:val="24"/>
              </w:rPr>
              <w:t>引领多元</w:t>
            </w:r>
            <w:proofErr w:type="gramEnd"/>
            <w:r>
              <w:rPr>
                <w:rFonts w:ascii="仿宋_GB2312" w:hAnsi="宋体" w:cs="宋体" w:hint="eastAsia"/>
                <w:color w:val="000000"/>
                <w:kern w:val="0"/>
                <w:sz w:val="24"/>
                <w:szCs w:val="24"/>
              </w:rPr>
              <w:t>治理机制与</w:t>
            </w:r>
            <w:proofErr w:type="gramStart"/>
            <w:r>
              <w:rPr>
                <w:rFonts w:ascii="仿宋_GB2312" w:hAnsi="宋体" w:cs="宋体" w:hint="eastAsia"/>
                <w:color w:val="000000"/>
                <w:kern w:val="0"/>
                <w:sz w:val="24"/>
                <w:szCs w:val="24"/>
              </w:rPr>
              <w:t>网格智治平台</w:t>
            </w:r>
            <w:proofErr w:type="gramEnd"/>
            <w:r>
              <w:rPr>
                <w:rFonts w:ascii="仿宋_GB2312" w:hAnsi="宋体" w:cs="宋体" w:hint="eastAsia"/>
                <w:color w:val="000000"/>
                <w:kern w:val="0"/>
                <w:sz w:val="24"/>
                <w:szCs w:val="24"/>
              </w:rPr>
              <w:t>建设、党建</w:t>
            </w:r>
            <w:proofErr w:type="gramStart"/>
            <w:r>
              <w:rPr>
                <w:rFonts w:ascii="仿宋_GB2312" w:hAnsi="宋体" w:cs="宋体" w:hint="eastAsia"/>
                <w:color w:val="000000"/>
                <w:kern w:val="0"/>
                <w:sz w:val="24"/>
                <w:szCs w:val="24"/>
              </w:rPr>
              <w:t>引领多元</w:t>
            </w:r>
            <w:proofErr w:type="gramEnd"/>
            <w:r>
              <w:rPr>
                <w:rFonts w:ascii="仿宋_GB2312" w:hAnsi="宋体" w:cs="宋体" w:hint="eastAsia"/>
                <w:color w:val="000000"/>
                <w:kern w:val="0"/>
                <w:sz w:val="24"/>
                <w:szCs w:val="24"/>
              </w:rPr>
              <w:t>协同关键技术与应用集成、多元治理主体协同应用示范与评估、面向治理对象的基层智慧管理应用示范与评估的</w:t>
            </w:r>
            <w:proofErr w:type="gramStart"/>
            <w:r>
              <w:rPr>
                <w:rFonts w:ascii="仿宋_GB2312" w:hAnsi="宋体" w:cs="宋体" w:hint="eastAsia"/>
                <w:color w:val="000000"/>
                <w:kern w:val="0"/>
                <w:sz w:val="24"/>
                <w:szCs w:val="24"/>
              </w:rPr>
              <w:t>基层智治途径</w:t>
            </w:r>
            <w:proofErr w:type="gramEnd"/>
            <w:r>
              <w:rPr>
                <w:rFonts w:ascii="仿宋_GB2312" w:hAnsi="宋体" w:cs="宋体" w:hint="eastAsia"/>
                <w:color w:val="000000"/>
                <w:kern w:val="0"/>
                <w:sz w:val="24"/>
                <w:szCs w:val="24"/>
              </w:rPr>
              <w:t>。</w:t>
            </w:r>
          </w:p>
        </w:tc>
      </w:tr>
      <w:tr w:rsidR="005F7F4D">
        <w:trPr>
          <w:trHeight w:val="169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大数据驱动的科技人才信用画像与人才推荐</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基于国家人才标准，研究构建人才大数据框架，引入风险指数计算方法，通过大数据模型建立人才信用识别方法和预测技术，生成科技人才“信用报告”实现科技人才的信用风险预警。依据天津市重点产业企事业招聘信息和科技人才的科研信息，通过深度学习模型计算，形成用人需求与科技人才的关联，为天津市重点产业人才评价、人才引进等推荐推荐优秀科技人才。</w:t>
            </w:r>
          </w:p>
        </w:tc>
      </w:tr>
      <w:tr w:rsidR="005F7F4D">
        <w:trPr>
          <w:trHeight w:val="100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国际科技组织数据库建设与科技热点事件监测</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收集、整理国际科技组织信息，建设国际组织信息数据库，提出我国在国际组织的参与路径和对策建议。采集联合国教科文组织、世界卫生组织等发布的最新报告，形成科技信息资源，形成简报报送。</w:t>
            </w:r>
          </w:p>
        </w:tc>
      </w:tr>
      <w:tr w:rsidR="005F7F4D">
        <w:trPr>
          <w:trHeight w:val="112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49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天津市石化产业水资源优化布局研究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分析天津石化产业布局现状，分析产业基地水资源开发利用存在问题，研究水源条件、经济发展、生态保护等因素对水资源承载能力的影响，基于区域水资源承载能力负荷，提出推进石化产业基地布局水资源配置和管理的政策建议。</w:t>
            </w:r>
          </w:p>
        </w:tc>
      </w:tr>
      <w:tr w:rsidR="005F7F4D">
        <w:trPr>
          <w:trHeight w:val="128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弘扬科学家精神背景下的科学文化建设研究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proofErr w:type="gramStart"/>
            <w:r>
              <w:rPr>
                <w:rFonts w:ascii="仿宋_GB2312" w:hAnsi="宋体" w:cs="宋体" w:hint="eastAsia"/>
                <w:kern w:val="0"/>
                <w:sz w:val="24"/>
                <w:szCs w:val="24"/>
              </w:rPr>
              <w:t>凝练中国</w:t>
            </w:r>
            <w:proofErr w:type="gramEnd"/>
            <w:r>
              <w:rPr>
                <w:rFonts w:ascii="仿宋_GB2312" w:hAnsi="宋体" w:cs="宋体" w:hint="eastAsia"/>
                <w:kern w:val="0"/>
                <w:sz w:val="24"/>
                <w:szCs w:val="24"/>
              </w:rPr>
              <w:t>科学家文化的精神特质，归纳能够表征当代中国</w:t>
            </w:r>
            <w:proofErr w:type="gramStart"/>
            <w:r>
              <w:rPr>
                <w:rFonts w:ascii="仿宋_GB2312" w:hAnsi="宋体" w:cs="宋体" w:hint="eastAsia"/>
                <w:kern w:val="0"/>
                <w:sz w:val="24"/>
                <w:szCs w:val="24"/>
              </w:rPr>
              <w:t>科学共同体</w:t>
            </w:r>
            <w:proofErr w:type="gramEnd"/>
            <w:r>
              <w:rPr>
                <w:rFonts w:ascii="仿宋_GB2312" w:hAnsi="宋体" w:cs="宋体" w:hint="eastAsia"/>
                <w:kern w:val="0"/>
                <w:sz w:val="24"/>
                <w:szCs w:val="24"/>
              </w:rPr>
              <w:t>的科学精神与伦理规范。探索</w:t>
            </w:r>
            <w:proofErr w:type="gramStart"/>
            <w:r>
              <w:rPr>
                <w:rFonts w:ascii="仿宋_GB2312" w:hAnsi="宋体" w:cs="宋体" w:hint="eastAsia"/>
                <w:kern w:val="0"/>
                <w:sz w:val="24"/>
                <w:szCs w:val="24"/>
              </w:rPr>
              <w:t>科学共同体</w:t>
            </w:r>
            <w:proofErr w:type="gramEnd"/>
            <w:r>
              <w:rPr>
                <w:rFonts w:ascii="仿宋_GB2312" w:hAnsi="宋体" w:cs="宋体" w:hint="eastAsia"/>
                <w:kern w:val="0"/>
                <w:sz w:val="24"/>
                <w:szCs w:val="24"/>
              </w:rPr>
              <w:t>“内部文化”向社会公众“公共文化”转变的机制，创新科普形式，提高精准科普的能力。健全科学传播教育体系，增强文化自觉与自信，提升全民科学素养。</w:t>
            </w:r>
          </w:p>
        </w:tc>
      </w:tr>
      <w:tr w:rsidR="005F7F4D">
        <w:trPr>
          <w:trHeight w:val="105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51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基于品牌视角的产业园区高质量发展路径及策略研究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调研产业园区的企业结构、资源禀赋、产业链布局、品牌建设、竞争优势等现状，研究品牌价值对产业园区建设的作用，凝练打造品牌产业园区要素，提出产业园区高质量发展的路径及策略。</w:t>
            </w:r>
          </w:p>
        </w:tc>
      </w:tr>
      <w:tr w:rsidR="005F7F4D">
        <w:trPr>
          <w:trHeight w:val="82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天津北斗应用技术创新及产业发展研究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开展天津北斗应用技术创新发展方向、产业发展战略、产业发展业态和产业集群布局研究，提出天津北斗产业发展专项行动计划建议。</w:t>
            </w:r>
          </w:p>
        </w:tc>
      </w:tr>
      <w:tr w:rsidR="005F7F4D">
        <w:trPr>
          <w:trHeight w:val="105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大数据驱动的轨道接驳公交问题诊断及对策分析</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研究轨道交通站点特别是末端站点乘客分布范围及出行规律，分析其与接驳公交线路在走向、站点布局、发车时间上的匹配程度，识别接驳公交存在问题，运用机器学习技术对接</w:t>
            </w:r>
            <w:proofErr w:type="gramStart"/>
            <w:r>
              <w:rPr>
                <w:rFonts w:ascii="仿宋_GB2312" w:hAnsi="宋体" w:cs="宋体" w:hint="eastAsia"/>
                <w:color w:val="000000"/>
                <w:kern w:val="0"/>
                <w:sz w:val="24"/>
                <w:szCs w:val="24"/>
              </w:rPr>
              <w:t>驳</w:t>
            </w:r>
            <w:proofErr w:type="gramEnd"/>
            <w:r>
              <w:rPr>
                <w:rFonts w:ascii="仿宋_GB2312" w:hAnsi="宋体" w:cs="宋体" w:hint="eastAsia"/>
                <w:color w:val="000000"/>
                <w:kern w:val="0"/>
                <w:sz w:val="24"/>
                <w:szCs w:val="24"/>
              </w:rPr>
              <w:t>公交线路进行智慧规划，提高接驳线路与需求的空间、时间匹配性。</w:t>
            </w:r>
          </w:p>
        </w:tc>
      </w:tr>
      <w:tr w:rsidR="005F7F4D">
        <w:trPr>
          <w:trHeight w:val="1129"/>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老旧小区作为保障性租赁住房——中心城区更新实施路径研究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针对当前房地产市场与老旧小区更新状况及存在问题，借鉴国外住房发展政策保障、经验，提出系统性解决中心城区更新的新政策机制，调动多主体积极性，在增加保障性租赁住房供给同时，激活城市核心区经济活力。</w:t>
            </w:r>
          </w:p>
        </w:tc>
      </w:tr>
      <w:tr w:rsidR="005F7F4D">
        <w:trPr>
          <w:trHeight w:val="141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青年人口吸引导向下的城市公共空间规划策略—— 以天津为例</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了解青年人口在就业创业、夜间经济、休闲娱乐、生活环境、交通出行等方面需求，总结青年人口对城市公共空间偏好的一般性特征，形成青年人口偏好型公共空间评价指标体系，总结城市公共空间吸引青年人才的普适特征，提出本市未来城市公共空间发展优化策略。</w:t>
            </w:r>
          </w:p>
        </w:tc>
      </w:tr>
      <w:tr w:rsidR="005F7F4D">
        <w:trPr>
          <w:trHeight w:val="1124"/>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碳中和目标背景下既有建筑的绿色性能改造路径</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调研分析既有建筑的能耗和</w:t>
            </w:r>
            <w:proofErr w:type="gramStart"/>
            <w:r>
              <w:rPr>
                <w:rFonts w:ascii="仿宋_GB2312" w:hAnsi="宋体" w:cs="宋体" w:hint="eastAsia"/>
                <w:color w:val="000000"/>
                <w:kern w:val="0"/>
                <w:sz w:val="24"/>
                <w:szCs w:val="24"/>
              </w:rPr>
              <w:t>碳排放</w:t>
            </w:r>
            <w:proofErr w:type="gramEnd"/>
            <w:r>
              <w:rPr>
                <w:rFonts w:ascii="仿宋_GB2312" w:hAnsi="宋体" w:cs="宋体" w:hint="eastAsia"/>
                <w:color w:val="000000"/>
                <w:kern w:val="0"/>
                <w:sz w:val="24"/>
                <w:szCs w:val="24"/>
              </w:rPr>
              <w:t>水平现状，提出适合于不同建筑类型的节能改造路线，建立既有建筑改造后运行能耗与碳排放的量化预测模型和基于“碳排放、运行费用、改造费用”等多目标优化的改造措施权衡判断方法，开发相应软件平台。</w:t>
            </w:r>
          </w:p>
        </w:tc>
      </w:tr>
      <w:tr w:rsidR="005F7F4D">
        <w:trPr>
          <w:trHeight w:val="1424"/>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高品质韧性智慧社区建设策略与路径研究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剖析本市高品质韧性智慧社区现状、条件、机遇、挑战，总结国内外社区建设先进经验，按照“共建共治共享共管”理念，提出社区建设指导原则、规划策略、实施路径，按照“基础类、完善类、提升类”分类施策原则，从政策、规划建设、公众参与层面，提出可持续、可推广、可实施的社区建设策略、路径。</w:t>
            </w:r>
          </w:p>
        </w:tc>
      </w:tr>
      <w:tr w:rsidR="005F7F4D">
        <w:trPr>
          <w:trHeight w:val="127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58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w:t>
            </w:r>
            <w:proofErr w:type="gramStart"/>
            <w:r>
              <w:rPr>
                <w:rFonts w:ascii="仿宋_GB2312" w:hAnsi="宋体" w:cs="宋体" w:hint="eastAsia"/>
                <w:color w:val="000000"/>
                <w:kern w:val="0"/>
                <w:sz w:val="24"/>
                <w:szCs w:val="24"/>
              </w:rPr>
              <w:t>科创产业</w:t>
            </w:r>
            <w:proofErr w:type="gramEnd"/>
            <w:r>
              <w:rPr>
                <w:rFonts w:ascii="仿宋_GB2312" w:hAnsi="宋体" w:cs="宋体" w:hint="eastAsia"/>
                <w:color w:val="000000"/>
                <w:kern w:val="0"/>
                <w:sz w:val="24"/>
                <w:szCs w:val="24"/>
              </w:rPr>
              <w:t>先导区建设路径研究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通过研究助</w:t>
            </w:r>
            <w:proofErr w:type="gramStart"/>
            <w:r>
              <w:rPr>
                <w:rFonts w:ascii="仿宋_GB2312" w:hAnsi="宋体" w:cs="宋体" w:hint="eastAsia"/>
                <w:color w:val="000000"/>
                <w:kern w:val="0"/>
                <w:sz w:val="24"/>
                <w:szCs w:val="24"/>
              </w:rPr>
              <w:t>推科创产业</w:t>
            </w:r>
            <w:proofErr w:type="gramEnd"/>
            <w:r>
              <w:rPr>
                <w:rFonts w:ascii="仿宋_GB2312" w:hAnsi="宋体" w:cs="宋体" w:hint="eastAsia"/>
                <w:color w:val="000000"/>
                <w:kern w:val="0"/>
                <w:sz w:val="24"/>
                <w:szCs w:val="24"/>
              </w:rPr>
              <w:t>发展、精准适配</w:t>
            </w:r>
            <w:proofErr w:type="gramStart"/>
            <w:r>
              <w:rPr>
                <w:rFonts w:ascii="仿宋_GB2312" w:hAnsi="宋体" w:cs="宋体" w:hint="eastAsia"/>
                <w:color w:val="000000"/>
                <w:kern w:val="0"/>
                <w:sz w:val="24"/>
                <w:szCs w:val="24"/>
              </w:rPr>
              <w:t>科创人才</w:t>
            </w:r>
            <w:proofErr w:type="gramEnd"/>
            <w:r>
              <w:rPr>
                <w:rFonts w:ascii="仿宋_GB2312" w:hAnsi="宋体" w:cs="宋体" w:hint="eastAsia"/>
                <w:color w:val="000000"/>
                <w:kern w:val="0"/>
                <w:sz w:val="24"/>
                <w:szCs w:val="24"/>
              </w:rPr>
              <w:t>需求的空间载体特征，搭建五位一体的激发创新、促产留人的</w:t>
            </w:r>
            <w:proofErr w:type="gramStart"/>
            <w:r>
              <w:rPr>
                <w:rFonts w:ascii="仿宋_GB2312" w:hAnsi="宋体" w:cs="宋体" w:hint="eastAsia"/>
                <w:color w:val="000000"/>
                <w:kern w:val="0"/>
                <w:sz w:val="24"/>
                <w:szCs w:val="24"/>
              </w:rPr>
              <w:t>科创产业</w:t>
            </w:r>
            <w:proofErr w:type="gramEnd"/>
            <w:r>
              <w:rPr>
                <w:rFonts w:ascii="仿宋_GB2312" w:hAnsi="宋体" w:cs="宋体" w:hint="eastAsia"/>
                <w:color w:val="000000"/>
                <w:kern w:val="0"/>
                <w:sz w:val="24"/>
                <w:szCs w:val="24"/>
              </w:rPr>
              <w:t>先导区优质政策生态体系，结合城市更新、</w:t>
            </w:r>
            <w:proofErr w:type="gramStart"/>
            <w:r>
              <w:rPr>
                <w:rFonts w:ascii="仿宋_GB2312" w:hAnsi="宋体" w:cs="宋体" w:hint="eastAsia"/>
                <w:color w:val="000000"/>
                <w:kern w:val="0"/>
                <w:sz w:val="24"/>
                <w:szCs w:val="24"/>
              </w:rPr>
              <w:t>进行科创产业</w:t>
            </w:r>
            <w:proofErr w:type="gramEnd"/>
            <w:r>
              <w:rPr>
                <w:rFonts w:ascii="仿宋_GB2312" w:hAnsi="宋体" w:cs="宋体" w:hint="eastAsia"/>
                <w:color w:val="000000"/>
                <w:kern w:val="0"/>
                <w:sz w:val="24"/>
                <w:szCs w:val="24"/>
              </w:rPr>
              <w:t>先导区的精细化高品质城市环境提升和建设</w:t>
            </w:r>
            <w:proofErr w:type="gramStart"/>
            <w:r>
              <w:rPr>
                <w:rFonts w:ascii="仿宋_GB2312" w:hAnsi="宋体" w:cs="宋体" w:hint="eastAsia"/>
                <w:color w:val="000000"/>
                <w:kern w:val="0"/>
                <w:sz w:val="24"/>
                <w:szCs w:val="24"/>
              </w:rPr>
              <w:t>科创产业先导区增强</w:t>
            </w:r>
            <w:proofErr w:type="gramEnd"/>
            <w:r>
              <w:rPr>
                <w:rFonts w:ascii="仿宋_GB2312" w:hAnsi="宋体" w:cs="宋体" w:hint="eastAsia"/>
                <w:color w:val="000000"/>
                <w:kern w:val="0"/>
                <w:sz w:val="24"/>
                <w:szCs w:val="24"/>
              </w:rPr>
              <w:t>城市软实力，提出科</w:t>
            </w:r>
            <w:proofErr w:type="gramStart"/>
            <w:r>
              <w:rPr>
                <w:rFonts w:ascii="仿宋_GB2312" w:hAnsi="宋体" w:cs="宋体" w:hint="eastAsia"/>
                <w:color w:val="000000"/>
                <w:kern w:val="0"/>
                <w:sz w:val="24"/>
                <w:szCs w:val="24"/>
              </w:rPr>
              <w:t>创先导区建设</w:t>
            </w:r>
            <w:proofErr w:type="gramEnd"/>
            <w:r>
              <w:rPr>
                <w:rFonts w:ascii="仿宋_GB2312" w:hAnsi="宋体" w:cs="宋体" w:hint="eastAsia"/>
                <w:color w:val="000000"/>
                <w:kern w:val="0"/>
                <w:sz w:val="24"/>
                <w:szCs w:val="24"/>
              </w:rPr>
              <w:t>路径，编制《天津市科创产业先导区建设导则》。</w:t>
            </w:r>
          </w:p>
        </w:tc>
      </w:tr>
      <w:tr w:rsidR="005F7F4D">
        <w:trPr>
          <w:trHeight w:val="138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59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天津商业消费空间布局规划策略研究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调研消费行为特征及市场运营、消费主体需求，结合新时期城市发展战略，综合</w:t>
            </w:r>
            <w:proofErr w:type="gramStart"/>
            <w:r>
              <w:rPr>
                <w:rFonts w:ascii="仿宋_GB2312" w:hAnsi="宋体" w:cs="宋体" w:hint="eastAsia"/>
                <w:color w:val="000000"/>
                <w:kern w:val="0"/>
                <w:sz w:val="24"/>
                <w:szCs w:val="24"/>
              </w:rPr>
              <w:t>研判商业</w:t>
            </w:r>
            <w:proofErr w:type="gramEnd"/>
            <w:r>
              <w:rPr>
                <w:rFonts w:ascii="仿宋_GB2312" w:hAnsi="宋体" w:cs="宋体" w:hint="eastAsia"/>
                <w:color w:val="000000"/>
                <w:kern w:val="0"/>
                <w:sz w:val="24"/>
                <w:szCs w:val="24"/>
              </w:rPr>
              <w:t>消费空间现状问题与发展规律，总结国际相关规划的先进经验与策略，提出具有天津特色的商业消费空间规划目标，构建“国际消费体验区－城市消费中心－地区活力消费圈－社区便民生活圈”四级空间结构，分类提出空间规划策略。</w:t>
            </w:r>
          </w:p>
        </w:tc>
      </w:tr>
      <w:tr w:rsidR="005F7F4D">
        <w:trPr>
          <w:trHeight w:val="102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天津市“12345”政务服务便民热线交通类社情民意感知分析技术研究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运用人工智能深度学习技术算法，将12345热线市民诉求自动归类推送、事件空间关联和专题场景评估，形成天津市百姓交通舆情分析技术体系，编制交通舆情分析报告，搭建天津市舆情监测分析平台，为市委、市政府提供数据支撑和决策辅助。</w:t>
            </w:r>
          </w:p>
        </w:tc>
      </w:tr>
      <w:tr w:rsidR="005F7F4D">
        <w:trPr>
          <w:trHeight w:val="132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w:t>
            </w:r>
            <w:proofErr w:type="gramStart"/>
            <w:r>
              <w:rPr>
                <w:rFonts w:ascii="仿宋_GB2312" w:hAnsi="宋体" w:cs="宋体" w:hint="eastAsia"/>
                <w:color w:val="000000"/>
                <w:kern w:val="0"/>
                <w:sz w:val="24"/>
                <w:szCs w:val="24"/>
              </w:rPr>
              <w:t>科创产业生态链服务</w:t>
            </w:r>
            <w:proofErr w:type="gramEnd"/>
            <w:r>
              <w:rPr>
                <w:rFonts w:ascii="仿宋_GB2312" w:hAnsi="宋体" w:cs="宋体" w:hint="eastAsia"/>
                <w:color w:val="000000"/>
                <w:kern w:val="0"/>
                <w:sz w:val="24"/>
                <w:szCs w:val="24"/>
              </w:rPr>
              <w:t>支撑体系建设模式研究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分析</w:t>
            </w:r>
            <w:proofErr w:type="gramStart"/>
            <w:r>
              <w:rPr>
                <w:rFonts w:ascii="仿宋_GB2312" w:hAnsi="宋体" w:cs="宋体" w:hint="eastAsia"/>
                <w:color w:val="000000"/>
                <w:kern w:val="0"/>
                <w:sz w:val="24"/>
                <w:szCs w:val="24"/>
              </w:rPr>
              <w:t>科创产业</w:t>
            </w:r>
            <w:proofErr w:type="gramEnd"/>
            <w:r>
              <w:rPr>
                <w:rFonts w:ascii="仿宋_GB2312" w:hAnsi="宋体" w:cs="宋体" w:hint="eastAsia"/>
                <w:color w:val="000000"/>
                <w:kern w:val="0"/>
                <w:sz w:val="24"/>
                <w:szCs w:val="24"/>
              </w:rPr>
              <w:t>发展现状，总结本市</w:t>
            </w:r>
            <w:proofErr w:type="gramStart"/>
            <w:r>
              <w:rPr>
                <w:rFonts w:ascii="仿宋_GB2312" w:hAnsi="宋体" w:cs="宋体" w:hint="eastAsia"/>
                <w:color w:val="000000"/>
                <w:kern w:val="0"/>
                <w:sz w:val="24"/>
                <w:szCs w:val="24"/>
              </w:rPr>
              <w:t>科创产业链发展</w:t>
            </w:r>
            <w:proofErr w:type="gramEnd"/>
            <w:r>
              <w:rPr>
                <w:rFonts w:ascii="仿宋_GB2312" w:hAnsi="宋体" w:cs="宋体" w:hint="eastAsia"/>
                <w:color w:val="000000"/>
                <w:kern w:val="0"/>
                <w:sz w:val="24"/>
                <w:szCs w:val="24"/>
              </w:rPr>
              <w:t>特征，研究</w:t>
            </w:r>
            <w:proofErr w:type="gramStart"/>
            <w:r>
              <w:rPr>
                <w:rFonts w:ascii="仿宋_GB2312" w:hAnsi="宋体" w:cs="宋体" w:hint="eastAsia"/>
                <w:color w:val="000000"/>
                <w:kern w:val="0"/>
                <w:sz w:val="24"/>
                <w:szCs w:val="24"/>
              </w:rPr>
              <w:t>科创产业</w:t>
            </w:r>
            <w:proofErr w:type="gramEnd"/>
            <w:r>
              <w:rPr>
                <w:rFonts w:ascii="仿宋_GB2312" w:hAnsi="宋体" w:cs="宋体" w:hint="eastAsia"/>
                <w:color w:val="000000"/>
                <w:kern w:val="0"/>
                <w:sz w:val="24"/>
                <w:szCs w:val="24"/>
              </w:rPr>
              <w:t>服务平台的作用机制，搭建产业服务平台功能体系，提出天津市</w:t>
            </w:r>
            <w:proofErr w:type="gramStart"/>
            <w:r>
              <w:rPr>
                <w:rFonts w:ascii="仿宋_GB2312" w:hAnsi="宋体" w:cs="宋体" w:hint="eastAsia"/>
                <w:color w:val="000000"/>
                <w:kern w:val="0"/>
                <w:sz w:val="24"/>
                <w:szCs w:val="24"/>
              </w:rPr>
              <w:t>科创产业</w:t>
            </w:r>
            <w:proofErr w:type="gramEnd"/>
            <w:r>
              <w:rPr>
                <w:rFonts w:ascii="仿宋_GB2312" w:hAnsi="宋体" w:cs="宋体" w:hint="eastAsia"/>
                <w:color w:val="000000"/>
                <w:kern w:val="0"/>
                <w:sz w:val="24"/>
                <w:szCs w:val="24"/>
              </w:rPr>
              <w:t>服务平台及产业社区治理体系的建设路径及模式，</w:t>
            </w:r>
            <w:proofErr w:type="gramStart"/>
            <w:r>
              <w:rPr>
                <w:rFonts w:ascii="仿宋_GB2312" w:hAnsi="宋体" w:cs="宋体" w:hint="eastAsia"/>
                <w:color w:val="000000"/>
                <w:kern w:val="0"/>
                <w:sz w:val="24"/>
                <w:szCs w:val="24"/>
              </w:rPr>
              <w:t>优化科创产业生态链服务</w:t>
            </w:r>
            <w:proofErr w:type="gramEnd"/>
            <w:r>
              <w:rPr>
                <w:rFonts w:ascii="仿宋_GB2312" w:hAnsi="宋体" w:cs="宋体" w:hint="eastAsia"/>
                <w:color w:val="000000"/>
                <w:kern w:val="0"/>
                <w:sz w:val="24"/>
                <w:szCs w:val="24"/>
              </w:rPr>
              <w:t>支撑体系空间布局，</w:t>
            </w:r>
            <w:proofErr w:type="gramStart"/>
            <w:r>
              <w:rPr>
                <w:rFonts w:ascii="仿宋_GB2312" w:hAnsi="宋体" w:cs="宋体" w:hint="eastAsia"/>
                <w:color w:val="000000"/>
                <w:kern w:val="0"/>
                <w:sz w:val="24"/>
                <w:szCs w:val="24"/>
              </w:rPr>
              <w:t>制定科创产业</w:t>
            </w:r>
            <w:proofErr w:type="gramEnd"/>
            <w:r>
              <w:rPr>
                <w:rFonts w:ascii="仿宋_GB2312" w:hAnsi="宋体" w:cs="宋体" w:hint="eastAsia"/>
                <w:color w:val="000000"/>
                <w:kern w:val="0"/>
                <w:sz w:val="24"/>
                <w:szCs w:val="24"/>
              </w:rPr>
              <w:t>服务平台的建设导则，建设产业政策研究智库。</w:t>
            </w:r>
          </w:p>
        </w:tc>
      </w:tr>
      <w:tr w:rsidR="005F7F4D">
        <w:trPr>
          <w:trHeight w:val="169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“数字天津”创新改革发展路径研究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梳理数字城市建设的历史沿革，</w:t>
            </w:r>
            <w:proofErr w:type="gramStart"/>
            <w:r>
              <w:rPr>
                <w:rFonts w:ascii="仿宋_GB2312" w:hAnsi="宋体" w:cs="宋体" w:hint="eastAsia"/>
                <w:color w:val="000000"/>
                <w:kern w:val="0"/>
                <w:sz w:val="24"/>
                <w:szCs w:val="24"/>
              </w:rPr>
              <w:t>研判数字</w:t>
            </w:r>
            <w:proofErr w:type="gramEnd"/>
            <w:r>
              <w:rPr>
                <w:rFonts w:ascii="仿宋_GB2312" w:hAnsi="宋体" w:cs="宋体" w:hint="eastAsia"/>
                <w:color w:val="000000"/>
                <w:kern w:val="0"/>
                <w:sz w:val="24"/>
                <w:szCs w:val="24"/>
              </w:rPr>
              <w:t>城市建设范式与发展方向；聚焦深化改革创新、整合开发利用数据资源、建设综合应用平台、丰富拓展应用场景等重点领域，归纳天津加快数字化发展成效与当前存在的主要问题，剖析产生问题的原因；探讨国内外数字城市建设的典型案例与经验做法，提炼数字城市建设思路启示与可供借鉴的工作举措；提出可操作、可落地的“数字天津”创新改革发展路径。</w:t>
            </w:r>
          </w:p>
        </w:tc>
      </w:tr>
      <w:tr w:rsidR="005F7F4D">
        <w:trPr>
          <w:trHeight w:val="198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63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产业高质量发展背景下的“产学研城融合”路径研究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立足新城产业高质量发展与</w:t>
            </w:r>
            <w:proofErr w:type="gramStart"/>
            <w:r>
              <w:rPr>
                <w:rFonts w:ascii="仿宋_GB2312" w:hAnsi="宋体" w:cs="宋体" w:hint="eastAsia"/>
                <w:color w:val="000000"/>
                <w:kern w:val="0"/>
                <w:sz w:val="24"/>
                <w:szCs w:val="24"/>
              </w:rPr>
              <w:t>产城深化</w:t>
            </w:r>
            <w:proofErr w:type="gramEnd"/>
            <w:r>
              <w:rPr>
                <w:rFonts w:ascii="仿宋_GB2312" w:hAnsi="宋体" w:cs="宋体" w:hint="eastAsia"/>
                <w:color w:val="000000"/>
                <w:kern w:val="0"/>
                <w:sz w:val="24"/>
                <w:szCs w:val="24"/>
              </w:rPr>
              <w:t>融合的双重目标，针对大学园区、产业园区与城区融合度不高，创新环境和设施支撑不足，综合服务能力不优的短板，围绕激发产、学、</w:t>
            </w:r>
            <w:proofErr w:type="gramStart"/>
            <w:r>
              <w:rPr>
                <w:rFonts w:ascii="仿宋_GB2312" w:hAnsi="宋体" w:cs="宋体" w:hint="eastAsia"/>
                <w:color w:val="000000"/>
                <w:kern w:val="0"/>
                <w:sz w:val="24"/>
                <w:szCs w:val="24"/>
              </w:rPr>
              <w:t>研</w:t>
            </w:r>
            <w:proofErr w:type="gramEnd"/>
            <w:r>
              <w:rPr>
                <w:rFonts w:ascii="仿宋_GB2312" w:hAnsi="宋体" w:cs="宋体" w:hint="eastAsia"/>
                <w:color w:val="000000"/>
                <w:kern w:val="0"/>
                <w:sz w:val="24"/>
                <w:szCs w:val="24"/>
              </w:rPr>
              <w:t>、城的良性互动，分别从规划、建设、管理三方面，研究吸引创新才集聚的基础设施配套和公共服务布局，建立企业创新要素与人才培育智能撮合模型，开展多维</w:t>
            </w:r>
            <w:proofErr w:type="gramStart"/>
            <w:r>
              <w:rPr>
                <w:rFonts w:ascii="仿宋_GB2312" w:hAnsi="宋体" w:cs="宋体" w:hint="eastAsia"/>
                <w:color w:val="000000"/>
                <w:kern w:val="0"/>
                <w:sz w:val="24"/>
                <w:szCs w:val="24"/>
              </w:rPr>
              <w:t>度产业</w:t>
            </w:r>
            <w:proofErr w:type="gramEnd"/>
            <w:r>
              <w:rPr>
                <w:rFonts w:ascii="仿宋_GB2312" w:hAnsi="宋体" w:cs="宋体" w:hint="eastAsia"/>
                <w:color w:val="000000"/>
                <w:kern w:val="0"/>
                <w:sz w:val="24"/>
                <w:szCs w:val="24"/>
              </w:rPr>
              <w:t>链分析，构建科学合理的产业用地综合评估指标，提出产学研城融合路径，打造智慧</w:t>
            </w:r>
            <w:proofErr w:type="gramStart"/>
            <w:r>
              <w:rPr>
                <w:rFonts w:ascii="仿宋_GB2312" w:hAnsi="宋体" w:cs="宋体" w:hint="eastAsia"/>
                <w:color w:val="000000"/>
                <w:kern w:val="0"/>
                <w:sz w:val="24"/>
                <w:szCs w:val="24"/>
              </w:rPr>
              <w:t>园区云服务</w:t>
            </w:r>
            <w:proofErr w:type="gramEnd"/>
            <w:r>
              <w:rPr>
                <w:rFonts w:ascii="仿宋_GB2312" w:hAnsi="宋体" w:cs="宋体" w:hint="eastAsia"/>
                <w:color w:val="000000"/>
                <w:kern w:val="0"/>
                <w:sz w:val="24"/>
                <w:szCs w:val="24"/>
              </w:rPr>
              <w:t>平台。</w:t>
            </w:r>
          </w:p>
        </w:tc>
      </w:tr>
      <w:tr w:rsidR="005F7F4D">
        <w:trPr>
          <w:trHeight w:val="140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天开</w:t>
            </w:r>
            <w:proofErr w:type="gramStart"/>
            <w:r>
              <w:rPr>
                <w:rFonts w:ascii="仿宋_GB2312" w:hAnsi="宋体" w:cs="宋体" w:hint="eastAsia"/>
                <w:color w:val="000000"/>
                <w:kern w:val="0"/>
                <w:sz w:val="24"/>
                <w:szCs w:val="24"/>
              </w:rPr>
              <w:t>高教科创园</w:t>
            </w:r>
            <w:proofErr w:type="gramEnd"/>
            <w:r>
              <w:rPr>
                <w:rFonts w:ascii="仿宋_GB2312" w:hAnsi="宋体" w:cs="宋体" w:hint="eastAsia"/>
                <w:color w:val="000000"/>
                <w:kern w:val="0"/>
                <w:sz w:val="24"/>
                <w:szCs w:val="24"/>
              </w:rPr>
              <w:t>打造金融创新运营示范区的探索研究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梳理天开园打造金融创新运营示范区的现实基础及优势，以重点领域为突破口，提出天开园打造金融创新运营示范区的路径选择，研究提出3-5个符合天开园发展模式的金融创新重点工程和示范项目，探索提出3-5个金融支持天开园科技创新及产业发展的应用领域。</w:t>
            </w:r>
          </w:p>
        </w:tc>
      </w:tr>
      <w:tr w:rsidR="005F7F4D">
        <w:trPr>
          <w:trHeight w:val="169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推动天津“城市大脑”赋能数字天津发展的路径对策研究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梳理总结天津“城市大脑”的建设现状及问题，调研总结全国先行先进地区“城市大脑”建设现状、发展趋势及优秀经验，对标天津市城市大脑建设，提出未来建设发展思路；归纳总结天津“城市大脑”赋能数字天津建设的核心路径，提出天津“城市大脑”更好赋能数字天津的建设方向，针对天津“城市大脑”建设提出构思性框架及建议。</w:t>
            </w:r>
          </w:p>
        </w:tc>
      </w:tr>
      <w:tr w:rsidR="005F7F4D">
        <w:trPr>
          <w:trHeight w:val="197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proofErr w:type="gramStart"/>
            <w:r>
              <w:rPr>
                <w:rFonts w:ascii="仿宋_GB2312" w:hAnsi="宋体" w:cs="宋体" w:hint="eastAsia"/>
                <w:color w:val="000000"/>
                <w:kern w:val="0"/>
                <w:sz w:val="24"/>
                <w:szCs w:val="24"/>
              </w:rPr>
              <w:t>融媒体</w:t>
            </w:r>
            <w:proofErr w:type="gramEnd"/>
            <w:r>
              <w:rPr>
                <w:rFonts w:ascii="仿宋_GB2312" w:hAnsi="宋体" w:cs="宋体" w:hint="eastAsia"/>
                <w:color w:val="000000"/>
                <w:kern w:val="0"/>
                <w:sz w:val="24"/>
                <w:szCs w:val="24"/>
              </w:rPr>
              <w:t>时代“多元协同”精准健康科普实施路径研究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对比总结发达国家、地区开展基于</w:t>
            </w:r>
            <w:proofErr w:type="gramStart"/>
            <w:r>
              <w:rPr>
                <w:rFonts w:ascii="仿宋_GB2312" w:hAnsi="宋体" w:cs="宋体" w:hint="eastAsia"/>
                <w:color w:val="000000"/>
                <w:kern w:val="0"/>
                <w:sz w:val="24"/>
                <w:szCs w:val="24"/>
              </w:rPr>
              <w:t>融媒体</w:t>
            </w:r>
            <w:proofErr w:type="gramEnd"/>
            <w:r>
              <w:rPr>
                <w:rFonts w:ascii="仿宋_GB2312" w:hAnsi="宋体" w:cs="宋体" w:hint="eastAsia"/>
                <w:color w:val="000000"/>
                <w:kern w:val="0"/>
                <w:sz w:val="24"/>
                <w:szCs w:val="24"/>
              </w:rPr>
              <w:t>技术的健康科普成功做法和研究成果；调研了解我市健康科普发展现状、存在的主要困难和原因；面向</w:t>
            </w:r>
            <w:proofErr w:type="gramStart"/>
            <w:r>
              <w:rPr>
                <w:rFonts w:ascii="仿宋_GB2312" w:hAnsi="宋体" w:cs="宋体" w:hint="eastAsia"/>
                <w:color w:val="000000"/>
                <w:kern w:val="0"/>
                <w:sz w:val="24"/>
                <w:szCs w:val="24"/>
              </w:rPr>
              <w:t>医</w:t>
            </w:r>
            <w:proofErr w:type="gramEnd"/>
            <w:r>
              <w:rPr>
                <w:rFonts w:ascii="仿宋_GB2312" w:hAnsi="宋体" w:cs="宋体" w:hint="eastAsia"/>
                <w:color w:val="000000"/>
                <w:kern w:val="0"/>
                <w:sz w:val="24"/>
                <w:szCs w:val="24"/>
              </w:rPr>
              <w:t>联体内医务人员和居民开展问卷调查，了解我市健康科普的运行模式、实施方法、科普内容和形式、主要问题和原因等；分析不同年龄层次、文化程度、职业、经济水平、不同身体健康状况居民的健康科普需求，梳理健康科普实施中各主体的责任和协同关系，提出构建“多元协同”的精准健康科普新模式和实现路径。</w:t>
            </w:r>
          </w:p>
        </w:tc>
      </w:tr>
      <w:tr w:rsidR="005F7F4D">
        <w:trPr>
          <w:trHeight w:val="113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w:t>
            </w:r>
            <w:proofErr w:type="gramStart"/>
            <w:r>
              <w:rPr>
                <w:rFonts w:ascii="仿宋_GB2312" w:hAnsi="宋体" w:cs="宋体" w:hint="eastAsia"/>
                <w:color w:val="000000"/>
                <w:kern w:val="0"/>
                <w:sz w:val="24"/>
                <w:szCs w:val="24"/>
              </w:rPr>
              <w:t>医疗信创产业</w:t>
            </w:r>
            <w:proofErr w:type="gramEnd"/>
            <w:r>
              <w:rPr>
                <w:rFonts w:ascii="仿宋_GB2312" w:hAnsi="宋体" w:cs="宋体" w:hint="eastAsia"/>
                <w:color w:val="000000"/>
                <w:kern w:val="0"/>
                <w:sz w:val="24"/>
                <w:szCs w:val="24"/>
              </w:rPr>
              <w:t>高质量发展战略研究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界定</w:t>
            </w:r>
            <w:proofErr w:type="gramStart"/>
            <w:r>
              <w:rPr>
                <w:rFonts w:ascii="仿宋_GB2312" w:hAnsi="宋体" w:cs="宋体" w:hint="eastAsia"/>
                <w:color w:val="000000"/>
                <w:kern w:val="0"/>
                <w:sz w:val="24"/>
                <w:szCs w:val="24"/>
              </w:rPr>
              <w:t>医疗信创产业</w:t>
            </w:r>
            <w:proofErr w:type="gramEnd"/>
            <w:r>
              <w:rPr>
                <w:rFonts w:ascii="仿宋_GB2312" w:hAnsi="宋体" w:cs="宋体" w:hint="eastAsia"/>
                <w:color w:val="000000"/>
                <w:kern w:val="0"/>
                <w:sz w:val="24"/>
                <w:szCs w:val="24"/>
              </w:rPr>
              <w:t>概念，分析</w:t>
            </w:r>
            <w:proofErr w:type="gramStart"/>
            <w:r>
              <w:rPr>
                <w:rFonts w:ascii="仿宋_GB2312" w:hAnsi="宋体" w:cs="宋体" w:hint="eastAsia"/>
                <w:color w:val="000000"/>
                <w:kern w:val="0"/>
                <w:sz w:val="24"/>
                <w:szCs w:val="24"/>
              </w:rPr>
              <w:t>医疗信创领域</w:t>
            </w:r>
            <w:proofErr w:type="gramEnd"/>
            <w:r>
              <w:rPr>
                <w:rFonts w:ascii="仿宋_GB2312" w:hAnsi="宋体" w:cs="宋体" w:hint="eastAsia"/>
                <w:color w:val="000000"/>
                <w:kern w:val="0"/>
                <w:sz w:val="24"/>
                <w:szCs w:val="24"/>
              </w:rPr>
              <w:t>的整体研究背景，调研梳理我国</w:t>
            </w:r>
            <w:proofErr w:type="gramStart"/>
            <w:r>
              <w:rPr>
                <w:rFonts w:ascii="仿宋_GB2312" w:hAnsi="宋体" w:cs="宋体" w:hint="eastAsia"/>
                <w:color w:val="000000"/>
                <w:kern w:val="0"/>
                <w:sz w:val="24"/>
                <w:szCs w:val="24"/>
              </w:rPr>
              <w:t>医疗信创领域</w:t>
            </w:r>
            <w:proofErr w:type="gramEnd"/>
            <w:r>
              <w:rPr>
                <w:rFonts w:ascii="仿宋_GB2312" w:hAnsi="宋体" w:cs="宋体" w:hint="eastAsia"/>
                <w:color w:val="000000"/>
                <w:kern w:val="0"/>
                <w:sz w:val="24"/>
                <w:szCs w:val="24"/>
              </w:rPr>
              <w:t>发展现状，分析本市</w:t>
            </w:r>
            <w:proofErr w:type="gramStart"/>
            <w:r>
              <w:rPr>
                <w:rFonts w:ascii="仿宋_GB2312" w:hAnsi="宋体" w:cs="宋体" w:hint="eastAsia"/>
                <w:color w:val="000000"/>
                <w:kern w:val="0"/>
                <w:sz w:val="24"/>
                <w:szCs w:val="24"/>
              </w:rPr>
              <w:t>医疗信创产业</w:t>
            </w:r>
            <w:proofErr w:type="gramEnd"/>
            <w:r>
              <w:rPr>
                <w:rFonts w:ascii="仿宋_GB2312" w:hAnsi="宋体" w:cs="宋体" w:hint="eastAsia"/>
                <w:color w:val="000000"/>
                <w:kern w:val="0"/>
                <w:sz w:val="24"/>
                <w:szCs w:val="24"/>
              </w:rPr>
              <w:t>的机遇、挑战和存在问题，</w:t>
            </w:r>
            <w:proofErr w:type="gramStart"/>
            <w:r>
              <w:rPr>
                <w:rFonts w:ascii="仿宋_GB2312" w:hAnsi="宋体" w:cs="宋体" w:hint="eastAsia"/>
                <w:color w:val="000000"/>
                <w:kern w:val="0"/>
                <w:sz w:val="24"/>
                <w:szCs w:val="24"/>
              </w:rPr>
              <w:t>研</w:t>
            </w:r>
            <w:proofErr w:type="gramEnd"/>
            <w:r>
              <w:rPr>
                <w:rFonts w:ascii="仿宋_GB2312" w:hAnsi="宋体" w:cs="宋体" w:hint="eastAsia"/>
                <w:color w:val="000000"/>
                <w:kern w:val="0"/>
                <w:sz w:val="24"/>
                <w:szCs w:val="24"/>
              </w:rPr>
              <w:t>提有针对性的对策建议。</w:t>
            </w:r>
          </w:p>
        </w:tc>
      </w:tr>
      <w:tr w:rsidR="005F7F4D">
        <w:trPr>
          <w:trHeight w:val="139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68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全域科普工作体系研究与实践探索</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调研本市5年来全域科普工作实践，总结“四全”领域取得的经验、成果，以及本市科普工作在理念、内涵、实施路径方面的创新案例，凝练出具有示范和推广价值的全域科普天津模式，包括理念、机制、模式、经验的相关总结和提炼。同时，对我市全域科普实施过程中存在的问题进行剖析，提出解决路径和对策建议。</w:t>
            </w:r>
          </w:p>
        </w:tc>
      </w:tr>
      <w:tr w:rsidR="005F7F4D">
        <w:trPr>
          <w:trHeight w:val="99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69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薪酬差距对企业研发效率的影响研究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理论分析薪酬差距对企业研发和创新效率的影响机制，调研收集企业数据，实证分析薪酬差距对企业研发效率的影响。根据理论研究和实证分析，提出企业薪酬激励机制、优化薪酬体系的对策建议。</w:t>
            </w:r>
          </w:p>
        </w:tc>
      </w:tr>
      <w:tr w:rsidR="005F7F4D">
        <w:trPr>
          <w:trHeight w:val="111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天津极端气象灾害风险及其防范应对措施研究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收集整理本市历史极端气象灾害事件数据，评估极端气象灾害面临的风险，运用模型、动力统计相结合的方法，提出</w:t>
            </w:r>
            <w:r>
              <w:rPr>
                <w:rFonts w:ascii="仿宋_GB2312" w:hAnsi="宋体" w:cs="宋体" w:hint="eastAsia"/>
                <w:kern w:val="0"/>
                <w:sz w:val="24"/>
                <w:szCs w:val="24"/>
              </w:rPr>
              <w:t>暴雨、冰雹、大风三种极端灾害天气</w:t>
            </w:r>
            <w:r>
              <w:rPr>
                <w:rFonts w:ascii="仿宋_GB2312" w:hAnsi="宋体" w:cs="宋体" w:hint="eastAsia"/>
                <w:color w:val="000000"/>
                <w:kern w:val="0"/>
                <w:sz w:val="24"/>
                <w:szCs w:val="24"/>
              </w:rPr>
              <w:t>对交通、农业、人居环境等可能产生风险的防御应对措施。</w:t>
            </w:r>
          </w:p>
        </w:tc>
      </w:tr>
      <w:tr w:rsidR="005F7F4D">
        <w:trPr>
          <w:trHeight w:val="127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新时代天津科普场馆人才培养关键问题与对策研究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了解本市科普场馆人才培养现状和面临的突出问题，剖析产生根源；统计分析本市科普场馆人才发展需求，建立适应需求的科普场馆人才培养模式，探索制定激励和评价等科普场馆人才培养管理制度，借鉴其他省市的成功经验和特色做法，，提出新时代天津科普场馆人才队伍建设的思路与举措。</w:t>
            </w:r>
          </w:p>
        </w:tc>
      </w:tr>
      <w:tr w:rsidR="005F7F4D">
        <w:trPr>
          <w:trHeight w:val="169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天津推动生态资源资产保值增值的策略研究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国际国内生态资源保护、利用、管理及生态资源资产相关政策、理念、技术前沿及典型案例，梳理本市森林、湿地、海洋等生态资源面积、类型、分布等生态资源现状，评估各类生态资源资产价值，研究其特征和规律，识别优势、短板及问题，从保值、增值两个方面，按生态资源种类、区域（不同保护等级）、权属等多视角研究提出保值、增值的路径和举措。</w:t>
            </w:r>
          </w:p>
        </w:tc>
      </w:tr>
      <w:tr w:rsidR="005F7F4D">
        <w:trPr>
          <w:trHeight w:val="1416"/>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关于加强生态田园建设，发展绿色高效低碳都市农业，服务乡村振兴的建议</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都市绿色高效低碳生态田园发展路径、模式设计、技术集成与机制创新研究，构建技术体系与技术模式，开展不同区域的集约化生态田园系统设计与重构，编制技术标准或规范的目录清单，提出建设万亩规模以上示范区的总体设想，以及发展都市绿色高效低碳生态田园的政策建议。</w:t>
            </w:r>
          </w:p>
        </w:tc>
      </w:tr>
      <w:tr w:rsidR="005F7F4D">
        <w:trPr>
          <w:trHeight w:val="126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74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新发展阶段天津市宜居城市评价标准研究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调研梳理国内外</w:t>
            </w:r>
            <w:proofErr w:type="gramStart"/>
            <w:r>
              <w:rPr>
                <w:rFonts w:ascii="仿宋_GB2312" w:hAnsi="宋体" w:cs="宋体" w:hint="eastAsia"/>
                <w:color w:val="000000"/>
                <w:kern w:val="0"/>
                <w:sz w:val="24"/>
                <w:szCs w:val="24"/>
              </w:rPr>
              <w:t>关于宜</w:t>
            </w:r>
            <w:proofErr w:type="gramEnd"/>
            <w:r>
              <w:rPr>
                <w:rFonts w:ascii="仿宋_GB2312" w:hAnsi="宋体" w:cs="宋体" w:hint="eastAsia"/>
                <w:color w:val="000000"/>
                <w:kern w:val="0"/>
                <w:sz w:val="24"/>
                <w:szCs w:val="24"/>
              </w:rPr>
              <w:t>居城市的理论和实践发展历程以及本市改革开放以来人居条件的改善现状和存在问题，研究面向未来，对照世界一流的现代化大都市人居环境展望，分析现有宜居城市评价标准的长处和不足，提出新发展阶段天津市宜</w:t>
            </w:r>
            <w:proofErr w:type="gramStart"/>
            <w:r>
              <w:rPr>
                <w:rFonts w:ascii="仿宋_GB2312" w:hAnsi="宋体" w:cs="宋体" w:hint="eastAsia"/>
                <w:color w:val="000000"/>
                <w:kern w:val="0"/>
                <w:sz w:val="24"/>
                <w:szCs w:val="24"/>
              </w:rPr>
              <w:t>居评价</w:t>
            </w:r>
            <w:proofErr w:type="gramEnd"/>
            <w:r>
              <w:rPr>
                <w:rFonts w:ascii="仿宋_GB2312" w:hAnsi="宋体" w:cs="宋体" w:hint="eastAsia"/>
                <w:color w:val="000000"/>
                <w:kern w:val="0"/>
                <w:sz w:val="24"/>
                <w:szCs w:val="24"/>
              </w:rPr>
              <w:t>标准的确立原则、内容构成和评价指标。</w:t>
            </w:r>
          </w:p>
        </w:tc>
      </w:tr>
      <w:tr w:rsidR="005F7F4D">
        <w:trPr>
          <w:trHeight w:val="112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构建中西医结合治疗体系应对老龄化社会</w:t>
            </w:r>
            <w:proofErr w:type="gramStart"/>
            <w:r>
              <w:rPr>
                <w:rFonts w:ascii="仿宋_GB2312" w:hAnsi="宋体" w:cs="宋体" w:hint="eastAsia"/>
                <w:color w:val="000000"/>
                <w:kern w:val="0"/>
                <w:sz w:val="24"/>
                <w:szCs w:val="24"/>
              </w:rPr>
              <w:t>骨健康</w:t>
            </w:r>
            <w:proofErr w:type="gramEnd"/>
            <w:r>
              <w:rPr>
                <w:rFonts w:ascii="仿宋_GB2312" w:hAnsi="宋体" w:cs="宋体" w:hint="eastAsia"/>
                <w:color w:val="000000"/>
                <w:kern w:val="0"/>
                <w:sz w:val="24"/>
                <w:szCs w:val="24"/>
              </w:rPr>
              <w:t>问题的研究——中西医结合骨质疏松治疗体系的构建</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调研本市基层医疗机构针对骨质疏松的治疗现状，结合基层医疗机构和三级医院治疗实际情况，分析目前骨质疏松治疗体系存在的问题，探索构建中西医结合骨质疏松治疗体系，提出应对</w:t>
            </w:r>
            <w:proofErr w:type="gramStart"/>
            <w:r>
              <w:rPr>
                <w:rFonts w:ascii="仿宋_GB2312" w:hAnsi="宋体" w:cs="宋体" w:hint="eastAsia"/>
                <w:color w:val="000000"/>
                <w:kern w:val="0"/>
                <w:sz w:val="24"/>
                <w:szCs w:val="24"/>
              </w:rPr>
              <w:t>老年骨健康</w:t>
            </w:r>
            <w:proofErr w:type="gramEnd"/>
            <w:r>
              <w:rPr>
                <w:rFonts w:ascii="仿宋_GB2312" w:hAnsi="宋体" w:cs="宋体" w:hint="eastAsia"/>
                <w:color w:val="000000"/>
                <w:kern w:val="0"/>
                <w:sz w:val="24"/>
                <w:szCs w:val="24"/>
              </w:rPr>
              <w:t>问题的对策、方法。</w:t>
            </w:r>
          </w:p>
        </w:tc>
      </w:tr>
      <w:tr w:rsidR="005F7F4D">
        <w:trPr>
          <w:trHeight w:val="99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深化推动我市DRG工作营造智能化绿色医疗的建议</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调查分析本市医疗机构DRG（Diagnosis Related Groups即疾病诊断相关分组）和日间手术临床工作中存在的问题，提出相应对策建议，促进DRG在本市进一步深化推广、节省医疗经费、提高诊疗效率和质量、保障</w:t>
            </w:r>
            <w:proofErr w:type="gramStart"/>
            <w:r>
              <w:rPr>
                <w:rFonts w:ascii="仿宋_GB2312" w:hAnsi="宋体" w:cs="宋体" w:hint="eastAsia"/>
                <w:color w:val="000000"/>
                <w:kern w:val="0"/>
                <w:sz w:val="24"/>
                <w:szCs w:val="24"/>
              </w:rPr>
              <w:t>医</w:t>
            </w:r>
            <w:proofErr w:type="gramEnd"/>
            <w:r>
              <w:rPr>
                <w:rFonts w:ascii="仿宋_GB2312" w:hAnsi="宋体" w:cs="宋体" w:hint="eastAsia"/>
                <w:color w:val="000000"/>
                <w:kern w:val="0"/>
                <w:sz w:val="24"/>
                <w:szCs w:val="24"/>
              </w:rPr>
              <w:t>患双方利益，实现绿色医疗目标。</w:t>
            </w:r>
          </w:p>
        </w:tc>
      </w:tr>
      <w:tr w:rsidR="005F7F4D">
        <w:trPr>
          <w:trHeight w:val="1387"/>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数字可视化技术针对天津地区育龄女性生育意愿与生育率的比较与研究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收集整理本市育龄女性的生育意愿和生育率相关数据信息，构建本市育龄女性生育意愿和生育率的图表、地图、动态模拟等视觉化工具，全面呈现育龄女性生育意愿和生育率的变化趋势和空间分布特征，研究影响育龄女性生育意愿和生育率的主要因素和作用机制，并对不同因素进行量化比较，提出相应的政策建议和措施。</w:t>
            </w:r>
          </w:p>
        </w:tc>
      </w:tr>
      <w:tr w:rsidR="005F7F4D">
        <w:trPr>
          <w:trHeight w:val="140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新形势下精神卫生人才素质模型构建与应用研究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公立精神卫生专科医院精神卫生人才基础情况，构建基于岗位管理的公立精神卫生专科医院精神卫生人才素质模型，根据医院精神卫生人才素质分析及医疗服务能力供给情况，按照精神卫生事业高质量发展要求，提出涵盖培养引进、考核评价及监管机制等方面工作建议。</w:t>
            </w:r>
          </w:p>
        </w:tc>
      </w:tr>
      <w:tr w:rsidR="005F7F4D">
        <w:trPr>
          <w:trHeight w:val="103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79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全生命周期空间价值分析在城市更新项目中的应用研究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基于对各类城市更新模式的研究，建立空间资源全生命周期价值评估方法，研究利用GIS平台集成空间设计与价值分析的具体技术方法，实现空间方案与经济分析同步、实时互动，提高设计效率，提高其在编制城市更新实施方案中应用成功率。</w:t>
            </w:r>
          </w:p>
        </w:tc>
      </w:tr>
      <w:tr w:rsidR="005F7F4D">
        <w:trPr>
          <w:trHeight w:val="1357"/>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80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关于以名医</w:t>
            </w:r>
            <w:proofErr w:type="gramStart"/>
            <w:r>
              <w:rPr>
                <w:rFonts w:ascii="仿宋_GB2312" w:hAnsi="宋体" w:cs="宋体" w:hint="eastAsia"/>
                <w:color w:val="000000"/>
                <w:kern w:val="0"/>
                <w:sz w:val="24"/>
                <w:szCs w:val="24"/>
              </w:rPr>
              <w:t>堂建设</w:t>
            </w:r>
            <w:proofErr w:type="gramEnd"/>
            <w:r>
              <w:rPr>
                <w:rFonts w:ascii="仿宋_GB2312" w:hAnsi="宋体" w:cs="宋体" w:hint="eastAsia"/>
                <w:color w:val="000000"/>
                <w:kern w:val="0"/>
                <w:sz w:val="24"/>
                <w:szCs w:val="24"/>
              </w:rPr>
              <w:t>推动天津市中医药事业产业发展的研究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通过文献调研和实地考察，了解名医堂在医疗、治未病、康复、教学、科研、制药、技术成果推广、文化宣传教育、产业发展等中医药服务体系建设中的经验以及存在问题，围绕推动公立医院和社会力量建设名医堂、促进优质医疗资源下沉、制定适用于天津市的名医</w:t>
            </w:r>
            <w:proofErr w:type="gramStart"/>
            <w:r>
              <w:rPr>
                <w:rFonts w:ascii="仿宋_GB2312" w:hAnsi="宋体" w:cs="宋体" w:hint="eastAsia"/>
                <w:color w:val="000000"/>
                <w:kern w:val="0"/>
                <w:sz w:val="24"/>
                <w:szCs w:val="24"/>
              </w:rPr>
              <w:t>堂评价</w:t>
            </w:r>
            <w:proofErr w:type="gramEnd"/>
            <w:r>
              <w:rPr>
                <w:rFonts w:ascii="仿宋_GB2312" w:hAnsi="宋体" w:cs="宋体" w:hint="eastAsia"/>
                <w:color w:val="000000"/>
                <w:kern w:val="0"/>
                <w:sz w:val="24"/>
                <w:szCs w:val="24"/>
              </w:rPr>
              <w:t>体系、以及政策保障措施等名医</w:t>
            </w:r>
            <w:proofErr w:type="gramStart"/>
            <w:r>
              <w:rPr>
                <w:rFonts w:ascii="仿宋_GB2312" w:hAnsi="宋体" w:cs="宋体" w:hint="eastAsia"/>
                <w:color w:val="000000"/>
                <w:kern w:val="0"/>
                <w:sz w:val="24"/>
                <w:szCs w:val="24"/>
              </w:rPr>
              <w:t>堂建设</w:t>
            </w:r>
            <w:proofErr w:type="gramEnd"/>
            <w:r>
              <w:rPr>
                <w:rFonts w:ascii="仿宋_GB2312" w:hAnsi="宋体" w:cs="宋体" w:hint="eastAsia"/>
                <w:color w:val="000000"/>
                <w:kern w:val="0"/>
                <w:sz w:val="24"/>
                <w:szCs w:val="24"/>
              </w:rPr>
              <w:t>中的关键问题提出建议。</w:t>
            </w:r>
          </w:p>
        </w:tc>
      </w:tr>
      <w:tr w:rsidR="005F7F4D">
        <w:trPr>
          <w:trHeight w:val="109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天津市基层中医康复服务优势及发展策略研究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开展本市基层中医康复服务能力问卷调查和访谈，了解基层中医康复服务现状，研究制约基层中医康复服务能力发展的瓶颈和突出问题，研究提出发挥本市基层中医康复服务优势，加强基层中医康复服务发展的对策建议。</w:t>
            </w:r>
          </w:p>
        </w:tc>
      </w:tr>
      <w:tr w:rsidR="005F7F4D">
        <w:trPr>
          <w:trHeight w:val="129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天津市科技创新</w:t>
            </w:r>
            <w:proofErr w:type="gramStart"/>
            <w:r>
              <w:rPr>
                <w:rFonts w:ascii="仿宋_GB2312" w:hAnsi="宋体" w:cs="宋体" w:hint="eastAsia"/>
                <w:color w:val="000000"/>
                <w:kern w:val="0"/>
                <w:sz w:val="24"/>
                <w:szCs w:val="24"/>
              </w:rPr>
              <w:t>人才引育现状</w:t>
            </w:r>
            <w:proofErr w:type="gramEnd"/>
            <w:r>
              <w:rPr>
                <w:rFonts w:ascii="仿宋_GB2312" w:hAnsi="宋体" w:cs="宋体" w:hint="eastAsia"/>
                <w:color w:val="000000"/>
                <w:kern w:val="0"/>
                <w:sz w:val="24"/>
                <w:szCs w:val="24"/>
              </w:rPr>
              <w:t>与对策研究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分析新时代本市科技创新人才队伍建设面临的新形势新要求，调研当前本市科技研发人才和</w:t>
            </w:r>
            <w:proofErr w:type="gramStart"/>
            <w:r>
              <w:rPr>
                <w:rFonts w:ascii="仿宋_GB2312" w:hAnsi="宋体" w:cs="宋体" w:hint="eastAsia"/>
                <w:color w:val="000000"/>
                <w:kern w:val="0"/>
                <w:sz w:val="24"/>
                <w:szCs w:val="24"/>
              </w:rPr>
              <w:t>科创服务</w:t>
            </w:r>
            <w:proofErr w:type="gramEnd"/>
            <w:r>
              <w:rPr>
                <w:rFonts w:ascii="仿宋_GB2312" w:hAnsi="宋体" w:cs="宋体" w:hint="eastAsia"/>
                <w:color w:val="000000"/>
                <w:kern w:val="0"/>
                <w:sz w:val="24"/>
                <w:szCs w:val="24"/>
              </w:rPr>
              <w:t>人才现状和存在问题，开展以知识产权服务人才为代表的</w:t>
            </w:r>
            <w:proofErr w:type="gramStart"/>
            <w:r>
              <w:rPr>
                <w:rFonts w:ascii="仿宋_GB2312" w:hAnsi="宋体" w:cs="宋体" w:hint="eastAsia"/>
                <w:color w:val="000000"/>
                <w:kern w:val="0"/>
                <w:sz w:val="24"/>
                <w:szCs w:val="24"/>
              </w:rPr>
              <w:t>科创服务</w:t>
            </w:r>
            <w:proofErr w:type="gramEnd"/>
            <w:r>
              <w:rPr>
                <w:rFonts w:ascii="仿宋_GB2312" w:hAnsi="宋体" w:cs="宋体" w:hint="eastAsia"/>
                <w:color w:val="000000"/>
                <w:kern w:val="0"/>
                <w:sz w:val="24"/>
                <w:szCs w:val="24"/>
              </w:rPr>
              <w:t>人才收益驱动、价值驱动与党建协同</w:t>
            </w:r>
            <w:proofErr w:type="gramStart"/>
            <w:r>
              <w:rPr>
                <w:rFonts w:ascii="仿宋_GB2312" w:hAnsi="宋体" w:cs="宋体" w:hint="eastAsia"/>
                <w:color w:val="000000"/>
                <w:kern w:val="0"/>
                <w:sz w:val="24"/>
                <w:szCs w:val="24"/>
              </w:rPr>
              <w:t>的引育案例</w:t>
            </w:r>
            <w:proofErr w:type="gramEnd"/>
            <w:r>
              <w:rPr>
                <w:rFonts w:ascii="仿宋_GB2312" w:hAnsi="宋体" w:cs="宋体" w:hint="eastAsia"/>
                <w:color w:val="000000"/>
                <w:kern w:val="0"/>
                <w:sz w:val="24"/>
                <w:szCs w:val="24"/>
              </w:rPr>
              <w:t>研究，提出未来五年本市科技研发人才和</w:t>
            </w:r>
            <w:proofErr w:type="gramStart"/>
            <w:r>
              <w:rPr>
                <w:rFonts w:ascii="仿宋_GB2312" w:hAnsi="宋体" w:cs="宋体" w:hint="eastAsia"/>
                <w:color w:val="000000"/>
                <w:kern w:val="0"/>
                <w:sz w:val="24"/>
                <w:szCs w:val="24"/>
              </w:rPr>
              <w:t>科创服务人才引育</w:t>
            </w:r>
            <w:proofErr w:type="gramEnd"/>
            <w:r>
              <w:rPr>
                <w:rFonts w:ascii="仿宋_GB2312" w:hAnsi="宋体" w:cs="宋体" w:hint="eastAsia"/>
                <w:color w:val="000000"/>
                <w:kern w:val="0"/>
                <w:sz w:val="24"/>
                <w:szCs w:val="24"/>
              </w:rPr>
              <w:t>对策。</w:t>
            </w:r>
          </w:p>
        </w:tc>
      </w:tr>
      <w:tr w:rsidR="005F7F4D">
        <w:trPr>
          <w:trHeight w:val="112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农村体育赋能天津乡村振兴的研究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农村体育在助力乡村振兴的表现形式、路径渠道和作用，梳理总结农村体育在助力乡村振兴的现实挑战、存在问题，提出其在推动休闲农业，乡村旅游、创新业态等方面成为乡村振兴的动力点、高质量发展新引擎的方法、对策。</w:t>
            </w:r>
          </w:p>
        </w:tc>
      </w:tr>
      <w:tr w:rsidR="005F7F4D">
        <w:trPr>
          <w:trHeight w:val="140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84</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以促进医药卫生领域科技成果加速转化为导向的产教研融合创新管理策略研究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开展医药卫生行业科技成果转化政策导向、成果供给、成果展示交易情况和企业成果需求调研，分析研究影响医药卫生领域科技成果转化的关键要素，探索符合卫生与健康行业特点和市场经济规律的科技成果转移转化体系，提出激发产教研各方活力，规范行业成果转化流程等方面的对策建议。</w:t>
            </w:r>
          </w:p>
        </w:tc>
      </w:tr>
      <w:tr w:rsidR="005F7F4D">
        <w:trPr>
          <w:trHeight w:val="1144"/>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天津市职业院校助力中小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技术创新、产品升级的创新机制研究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调研本市职业院校为中小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提供技术服务的现状，开展技术服务校企合作潜力分析，建立技术服务“反哺”和对接机制，提出服务中小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科技成果转移转化、技术创新、技术服务、产品升级的对策建议。</w:t>
            </w:r>
          </w:p>
        </w:tc>
      </w:tr>
      <w:tr w:rsidR="005F7F4D">
        <w:trPr>
          <w:trHeight w:val="1922"/>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86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加快推进智能网联汽车落地应用和产业集聚的对策研究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kern w:val="0"/>
                <w:sz w:val="24"/>
                <w:szCs w:val="24"/>
              </w:rPr>
            </w:pPr>
            <w:r>
              <w:rPr>
                <w:rFonts w:ascii="仿宋_GB2312" w:hAnsi="宋体" w:cs="宋体" w:hint="eastAsia"/>
                <w:kern w:val="0"/>
                <w:sz w:val="24"/>
                <w:szCs w:val="24"/>
              </w:rPr>
              <w:t>调研国内外智能网联汽车产业生态、商业模式、产业发展创新环境、支撑体系等状况,对照先进查找制约本市智能网联汽车落地应用和产业集聚的主要问题、痛点和难点，并分析其原因，提出以龙头企业为牵引，采用平台招商、生态对接的方式，做好我市智能网联汽车产业链上下游企业、金融机构、科研机构等对接合作，推进车联网示范应用和产业落地，完善产业链自主循环能力，构建开放融合、创新发展的产业生态的对策建议。</w:t>
            </w:r>
          </w:p>
        </w:tc>
      </w:tr>
      <w:tr w:rsidR="005F7F4D">
        <w:trPr>
          <w:trHeight w:val="201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面向绿色低碳的复合型储能产业发展规划研究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新型储能技术及产业发展现状、规模以及问题和局限，围绕储能新技术展开适配性分析，梳理与本市区域经济发展融合度高、产业关联性强的新技术、新模式，结合行业前沿探讨适宜的复合型储能模式；针对新型储能技术及产业在技术创新激励、新储能长效盈利模式等方面存在的堵点，通过对国内外案例调研，提出面向绿色低碳的“新能源+新储能”产业</w:t>
            </w:r>
            <w:proofErr w:type="gramStart"/>
            <w:r>
              <w:rPr>
                <w:rFonts w:ascii="仿宋_GB2312" w:hAnsi="宋体" w:cs="宋体" w:hint="eastAsia"/>
                <w:color w:val="000000"/>
                <w:kern w:val="0"/>
                <w:sz w:val="24"/>
                <w:szCs w:val="24"/>
              </w:rPr>
              <w:t>链解决</w:t>
            </w:r>
            <w:proofErr w:type="gramEnd"/>
            <w:r>
              <w:rPr>
                <w:rFonts w:ascii="仿宋_GB2312" w:hAnsi="宋体" w:cs="宋体" w:hint="eastAsia"/>
                <w:color w:val="000000"/>
                <w:kern w:val="0"/>
                <w:sz w:val="24"/>
                <w:szCs w:val="24"/>
              </w:rPr>
              <w:t>方案，针对投资引导、产业融合、市场调控、人才支持、政策保障等方面提出对策建议。</w:t>
            </w:r>
          </w:p>
        </w:tc>
      </w:tr>
      <w:tr w:rsidR="005F7F4D">
        <w:trPr>
          <w:trHeight w:val="2259"/>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天津市智能车路协同产业发展趋势与对策研究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分析本市智能车路协同产业发展现状，系统归纳天津市智能车路协同产业的发展规划和相关政策，制作天津市智能车路协同产业图谱；梳理智能车路协同产业的关键技术体系，结合天津（西青）国家级车联网先导区的建设与发展情况，明确本市智能车路协同产业的发展定位，选择本市具有相对技术和市场优势的关键技术，纳入关键技术遴选体系；研究确定关键技术的遴选原则与评价维度，遴选天津市智能车路协同产业技术领域优先发展方向；从机制体制创新、人才培养以及示范应用等层面，结合车路协同技术优先发展方向排序结果，提出决策咨询建议。</w:t>
            </w:r>
          </w:p>
        </w:tc>
      </w:tr>
      <w:tr w:rsidR="005F7F4D">
        <w:trPr>
          <w:trHeight w:val="1411"/>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89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智慧农业模式驱动乡村振兴路径研究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本市农业及特色种植产业的发展水平、智慧农业新技术新模式应用案例调研，分析区域农业发展的优势基础以及乡村振兴所面临的瓶颈；梳理智慧农业本地化推广所面临的技术、政策、资金、人才、环境等方面的问题与破解思路；提出本市智慧农业全要素推广示范参考路径，赋能乡村振兴。</w:t>
            </w:r>
          </w:p>
        </w:tc>
      </w:tr>
      <w:tr w:rsidR="005F7F4D">
        <w:trPr>
          <w:trHeight w:val="1119"/>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90</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服务科教兴市人才强市行动推进中医药人才队伍建设的对策研究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整理分析中医药人才队伍建设情况、人才培养激励等政策措施，研究中医药人才队伍发展趋势及存在问题，针对趋势及问题开展问卷调查，总结提出推进本市中医药人才队伍建设服务科教兴市人才强市行动的对策建议。</w:t>
            </w:r>
          </w:p>
        </w:tc>
      </w:tr>
      <w:tr w:rsidR="005F7F4D">
        <w:trPr>
          <w:trHeight w:val="1560"/>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探讨促进高校科技成果转化实施路径的研究——以中医药科技成果转化为案例</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对比本市与京沪等中医药高校科技成果转化工作，查找政策</w:t>
            </w:r>
            <w:proofErr w:type="gramStart"/>
            <w:r>
              <w:rPr>
                <w:rFonts w:ascii="仿宋_GB2312" w:hAnsi="宋体" w:cs="宋体" w:hint="eastAsia"/>
                <w:color w:val="000000"/>
                <w:kern w:val="0"/>
                <w:sz w:val="24"/>
                <w:szCs w:val="24"/>
              </w:rPr>
              <w:t>落地难</w:t>
            </w:r>
            <w:proofErr w:type="gramEnd"/>
            <w:r>
              <w:rPr>
                <w:rFonts w:ascii="仿宋_GB2312" w:hAnsi="宋体" w:cs="宋体" w:hint="eastAsia"/>
                <w:color w:val="000000"/>
                <w:kern w:val="0"/>
                <w:sz w:val="24"/>
                <w:szCs w:val="24"/>
              </w:rPr>
              <w:t>的环节和问题，分析原因；调研本市高校的科研和成果转化情况以及企业需求，查找高校成果转化供需矛盾，分析供需对接难的原因；研究成果转化收入分配激励的政策，调研总结本市高校、企业、科研机构等科技成果转化收入分配的经验做法，提出破解科技成果转化政策落地和对接难题，以及完善转化收入分配制度、制定激励政策的路径及对策建议。</w:t>
            </w:r>
          </w:p>
        </w:tc>
      </w:tr>
      <w:tr w:rsidR="005F7F4D">
        <w:trPr>
          <w:trHeight w:val="1257"/>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92</w:t>
            </w:r>
          </w:p>
        </w:tc>
        <w:tc>
          <w:tcPr>
            <w:tcW w:w="4695" w:type="dxa"/>
            <w:tcBorders>
              <w:tl2br w:val="nil"/>
              <w:tr2bl w:val="nil"/>
            </w:tcBorders>
            <w:shd w:val="clear" w:color="000000" w:fill="FFFFFF"/>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专业化细分领域科普现状与对策研究——以天津市青少年皮肤健康科普为例</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开展青少年皮肤健康及科普状况调查，以皮肤健康科普为例，总结分析专业化细分科普对于青少年身心健康的影响，建立专业化科普平台，开发专业科普资源，提出加强专业化科普提高青少年身心健康的对策建议。</w:t>
            </w:r>
          </w:p>
        </w:tc>
      </w:tr>
      <w:tr w:rsidR="005F7F4D">
        <w:trPr>
          <w:trHeight w:val="112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天津市新型研发机构生物医药产业转化对策研究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我国新型研发机构生物医药产业转化的机制现状，总结新型研发机构生物医药产业转化机制创新经验，研究本市新型研发机构生物医药产业转化概况、问题短板和政策需求，提出天津市新型研发机构生物医药产业转化的机制、对策。</w:t>
            </w:r>
          </w:p>
        </w:tc>
      </w:tr>
      <w:tr w:rsidR="005F7F4D">
        <w:trPr>
          <w:trHeight w:val="227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基于场景创新驱动的数字经济发展模式与路径研究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深度剖析数字技术对于传统实体经济业务流程、规则、对象的赋能机理，研究制定数字场景创新通用架构开发方法；调研梳理场景创新典型案例，深度剖析场景创新的参与主体、基本路径、组织模式与推进机制，总结当前先进的、典型的场景创新发展模式及路径，梳理企业数字化转型场景创新难点痛点，聚焦本市重点产业链及企业融通发展需求，研究跨组织协同机制、差异化架构体系；结合本市产业特点及战略定位，提出探索数字场景创新试点遴选与培育、数字场景创新基地、场景创新未来实验室、数字场景创新产教融合等开放式、协同式创新共同体组织机制等对策建议。</w:t>
            </w:r>
          </w:p>
        </w:tc>
      </w:tr>
      <w:tr w:rsidR="005F7F4D">
        <w:trPr>
          <w:trHeight w:val="1683"/>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95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建设京津冀海洋经济发展示范区，</w:t>
            </w:r>
            <w:proofErr w:type="gramStart"/>
            <w:r>
              <w:rPr>
                <w:rFonts w:ascii="仿宋_GB2312" w:hAnsi="宋体" w:cs="宋体" w:hint="eastAsia"/>
                <w:color w:val="000000"/>
                <w:kern w:val="0"/>
                <w:sz w:val="24"/>
                <w:szCs w:val="24"/>
              </w:rPr>
              <w:t>助力港产城融合</w:t>
            </w:r>
            <w:proofErr w:type="gramEnd"/>
            <w:r>
              <w:rPr>
                <w:rFonts w:ascii="仿宋_GB2312" w:hAnsi="宋体" w:cs="宋体" w:hint="eastAsia"/>
                <w:color w:val="000000"/>
                <w:kern w:val="0"/>
                <w:sz w:val="24"/>
                <w:szCs w:val="24"/>
              </w:rPr>
              <w:t>发展路径研究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全面总结本市海洋产业经济发展和涉海科技创新平台建设的现状、问题及影响因素；以制度创新、政策创新和工作举措为重点，</w:t>
            </w:r>
            <w:proofErr w:type="gramStart"/>
            <w:r>
              <w:rPr>
                <w:rFonts w:ascii="仿宋_GB2312" w:hAnsi="宋体" w:cs="宋体" w:hint="eastAsia"/>
                <w:color w:val="000000"/>
                <w:kern w:val="0"/>
                <w:sz w:val="24"/>
                <w:szCs w:val="24"/>
              </w:rPr>
              <w:t>凝炼</w:t>
            </w:r>
            <w:proofErr w:type="gramEnd"/>
            <w:r>
              <w:rPr>
                <w:rFonts w:ascii="仿宋_GB2312" w:hAnsi="宋体" w:cs="宋体" w:hint="eastAsia"/>
                <w:color w:val="000000"/>
                <w:kern w:val="0"/>
                <w:sz w:val="24"/>
                <w:szCs w:val="24"/>
              </w:rPr>
              <w:t>国内外主要城市建设海洋产业园区，推进海洋产业转型升级的经验和做法；在深入调研京津冀三地海洋产业发展和科技创新现状的基础上，研究提出京津冀海洋经济发展示范区建设对港</w:t>
            </w:r>
            <w:proofErr w:type="gramStart"/>
            <w:r>
              <w:rPr>
                <w:rFonts w:ascii="仿宋_GB2312" w:hAnsi="宋体" w:cs="宋体" w:hint="eastAsia"/>
                <w:color w:val="000000"/>
                <w:kern w:val="0"/>
                <w:sz w:val="24"/>
                <w:szCs w:val="24"/>
              </w:rPr>
              <w:t>产城融合</w:t>
            </w:r>
            <w:proofErr w:type="gramEnd"/>
            <w:r>
              <w:rPr>
                <w:rFonts w:ascii="仿宋_GB2312" w:hAnsi="宋体" w:cs="宋体" w:hint="eastAsia"/>
                <w:color w:val="000000"/>
                <w:kern w:val="0"/>
                <w:sz w:val="24"/>
                <w:szCs w:val="24"/>
              </w:rPr>
              <w:t>发展的支撑路径及优化思路。</w:t>
            </w:r>
          </w:p>
        </w:tc>
      </w:tr>
      <w:tr w:rsidR="005F7F4D">
        <w:trPr>
          <w:trHeight w:val="1537"/>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96</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京津冀智能制造产业协同发展对策建议</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梳理分析京津冀智能制造产业创新资源分布和细分领域产业链布局情况，剖析“卡脖子”技术痛点和产业链短板；围绕中试转化等关键环节，通过调研中关村智造大街以及京津重点领域中试基地建设发展情况，探索</w:t>
            </w:r>
            <w:proofErr w:type="gramStart"/>
            <w:r>
              <w:rPr>
                <w:rFonts w:ascii="仿宋_GB2312" w:hAnsi="宋体" w:cs="宋体" w:hint="eastAsia"/>
                <w:color w:val="000000"/>
                <w:kern w:val="0"/>
                <w:sz w:val="24"/>
                <w:szCs w:val="24"/>
              </w:rPr>
              <w:t>构建全</w:t>
            </w:r>
            <w:proofErr w:type="gramEnd"/>
            <w:r>
              <w:rPr>
                <w:rFonts w:ascii="仿宋_GB2312" w:hAnsi="宋体" w:cs="宋体" w:hint="eastAsia"/>
                <w:color w:val="000000"/>
                <w:kern w:val="0"/>
                <w:sz w:val="24"/>
                <w:szCs w:val="24"/>
              </w:rPr>
              <w:t>链条全生命周期双创服务生态系统的关键路径；聚焦促进京津</w:t>
            </w:r>
            <w:proofErr w:type="gramStart"/>
            <w:r>
              <w:rPr>
                <w:rFonts w:ascii="仿宋_GB2312" w:hAnsi="宋体" w:cs="宋体" w:hint="eastAsia"/>
                <w:color w:val="000000"/>
                <w:kern w:val="0"/>
                <w:sz w:val="24"/>
                <w:szCs w:val="24"/>
              </w:rPr>
              <w:t>冀科技</w:t>
            </w:r>
            <w:proofErr w:type="gramEnd"/>
            <w:r>
              <w:rPr>
                <w:rFonts w:ascii="仿宋_GB2312" w:hAnsi="宋体" w:cs="宋体" w:hint="eastAsia"/>
                <w:color w:val="000000"/>
                <w:kern w:val="0"/>
                <w:sz w:val="24"/>
                <w:szCs w:val="24"/>
              </w:rPr>
              <w:t>协同和产业协同，提出推动京津冀智能制造产业协同发展的对策建议。</w:t>
            </w:r>
          </w:p>
        </w:tc>
      </w:tr>
      <w:tr w:rsidR="005F7F4D">
        <w:trPr>
          <w:trHeight w:val="99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97</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科技创新视角下天津与重点城市创新评价比较研究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构建城市创新评价指标体系和评价标准，选取经济发达的大城市、区域科学研究与技术创新的中心城市等重点城市，采集相关指标历年数据进行测算比较，分析本市创新型城市建设优势、劣势，提出优化科技创新布局等对策建议。</w:t>
            </w:r>
          </w:p>
        </w:tc>
      </w:tr>
      <w:tr w:rsidR="005F7F4D">
        <w:trPr>
          <w:trHeight w:val="123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98</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天津市加强科技前沿领域伦理治理机制研究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分析生命科学、人工智能等科技前沿领域科技伦理概念、特点，结合科技伦理案例，总结科技前沿领域伦理问题主要类型；总结先进国家、地区新兴科技伦理治理体系建设工作经验，调研其开展科技前沿领域伦理治理创新做法；结合天津市生命科学、人工智能等领域发展现状，提出本市加强科技前沿领域伦理治理机制。</w:t>
            </w:r>
          </w:p>
        </w:tc>
      </w:tr>
      <w:tr w:rsidR="005F7F4D">
        <w:trPr>
          <w:trHeight w:val="99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99</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天津市科技创新体系整体效能评价研究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研究新形势下提升本市科技创新体系整体效能的理论和政策问题，系统构建天津市创新体系整体效能评价体系，基于权威数据开展本市科技创新体系整体效能评价，提出本市创新体系效能提升的路径优化、战略布局和政策制定方面的对策建议。</w:t>
            </w:r>
          </w:p>
        </w:tc>
      </w:tr>
      <w:tr w:rsidR="005F7F4D">
        <w:trPr>
          <w:trHeight w:val="1938"/>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100</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天津市科技人才评价改革进展、问题与对策研究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梳理国家关于科技人才评价改革要求，调研先进国家、省市、机构开展科技人才评价的经验做法，总结本市推动科技人才评价改革的进展、成效和主要问题，调研用人主体和广大科研人员关于分类开展科技人才评价的共性需求，基于天津实际，聚焦项目评审、人才评价、机构评估改革联动，以及人才引进、培养、评价、考核、激励等管理链条贯通，提出本市科技人才评价改革思路和推动科技人才评价改革落地的对策建议。</w:t>
            </w:r>
          </w:p>
        </w:tc>
      </w:tr>
      <w:tr w:rsidR="005F7F4D">
        <w:trPr>
          <w:trHeight w:val="1697"/>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101</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以天津实验室体系建设支撑高质量发展的对策研究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梳理我市全国重点实验室、海河实验室、市级重点实验室研究领域布局、重大创新突破、科技成果转化等情况，借鉴先进省市实验室运营管理、成果转化等经验，围绕实验室支撑生物医药、汽车与新能源汽车等全市重点产业</w:t>
            </w:r>
            <w:proofErr w:type="gramStart"/>
            <w:r>
              <w:rPr>
                <w:rFonts w:ascii="仿宋_GB2312" w:hAnsi="宋体" w:cs="宋体" w:hint="eastAsia"/>
                <w:color w:val="000000"/>
                <w:kern w:val="0"/>
                <w:sz w:val="24"/>
                <w:szCs w:val="24"/>
              </w:rPr>
              <w:t>链深化</w:t>
            </w:r>
            <w:proofErr w:type="gramEnd"/>
            <w:r>
              <w:rPr>
                <w:rFonts w:ascii="仿宋_GB2312" w:hAnsi="宋体" w:cs="宋体" w:hint="eastAsia"/>
                <w:color w:val="000000"/>
                <w:kern w:val="0"/>
                <w:sz w:val="24"/>
                <w:szCs w:val="24"/>
              </w:rPr>
              <w:t>实验室体系布局研究，提出优化实验室体系布局、打通成果转化堵点难点、协同打好产业技术攻坚战等方面的对策建议。</w:t>
            </w:r>
          </w:p>
        </w:tc>
      </w:tr>
      <w:tr w:rsidR="005F7F4D">
        <w:trPr>
          <w:trHeight w:val="1409"/>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102</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知识产权激发我市科技型中小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创新活力的政策体系研究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总结中小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知识产权政策的发展脉络和共性规律，了解本市科技型中小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对知识产权政策的核心需求，</w:t>
            </w:r>
            <w:proofErr w:type="gramStart"/>
            <w:r>
              <w:rPr>
                <w:rFonts w:ascii="仿宋_GB2312" w:hAnsi="宋体" w:cs="宋体" w:hint="eastAsia"/>
                <w:color w:val="000000"/>
                <w:kern w:val="0"/>
                <w:sz w:val="24"/>
                <w:szCs w:val="24"/>
              </w:rPr>
              <w:t>研判当前</w:t>
            </w:r>
            <w:proofErr w:type="gramEnd"/>
            <w:r>
              <w:rPr>
                <w:rFonts w:ascii="仿宋_GB2312" w:hAnsi="宋体" w:cs="宋体" w:hint="eastAsia"/>
                <w:color w:val="000000"/>
                <w:kern w:val="0"/>
                <w:sz w:val="24"/>
                <w:szCs w:val="24"/>
              </w:rPr>
              <w:t>我市中小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知识产权政策体系建设的薄弱点和空白点，识别政策的作用点和发力点，提出有效提升本市科技型中小</w:t>
            </w:r>
            <w:proofErr w:type="gramStart"/>
            <w:r>
              <w:rPr>
                <w:rFonts w:ascii="仿宋_GB2312" w:hAnsi="宋体" w:cs="宋体" w:hint="eastAsia"/>
                <w:color w:val="000000"/>
                <w:kern w:val="0"/>
                <w:sz w:val="24"/>
                <w:szCs w:val="24"/>
              </w:rPr>
              <w:t>微企业</w:t>
            </w:r>
            <w:proofErr w:type="gramEnd"/>
            <w:r>
              <w:rPr>
                <w:rFonts w:ascii="仿宋_GB2312" w:hAnsi="宋体" w:cs="宋体" w:hint="eastAsia"/>
                <w:color w:val="000000"/>
                <w:kern w:val="0"/>
                <w:sz w:val="24"/>
                <w:szCs w:val="24"/>
              </w:rPr>
              <w:t>自主创新能力的知识产权政策体系框架模型与实现路径。</w:t>
            </w:r>
          </w:p>
        </w:tc>
      </w:tr>
      <w:tr w:rsidR="005F7F4D">
        <w:trPr>
          <w:trHeight w:val="1125"/>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103</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天津石化化工行业低碳转型路径研究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分析本市石化化工行业现状和特点，梳理行业主要产品类型、产量、企业分布，识别碳排放的来源和重要节点；开展行业整体碳排放核算及未来碳排放预测、评估分析；研究本市行业脱碳路径，提出本市石化化工行业低碳转型路径方案、政策建议。</w:t>
            </w:r>
          </w:p>
        </w:tc>
      </w:tr>
      <w:tr w:rsidR="005F7F4D">
        <w:trPr>
          <w:trHeight w:val="1141"/>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104</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绿色低碳降低我市公共基础设施运行成本的对策研究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调研本市公共基础设施绿色低碳发展现状及存在问题，结合公共基础</w:t>
            </w:r>
            <w:proofErr w:type="gramStart"/>
            <w:r>
              <w:rPr>
                <w:rFonts w:ascii="仿宋_GB2312" w:hAnsi="宋体" w:cs="宋体" w:hint="eastAsia"/>
                <w:color w:val="000000"/>
                <w:kern w:val="0"/>
                <w:sz w:val="24"/>
                <w:szCs w:val="24"/>
              </w:rPr>
              <w:t>设施双碳实施</w:t>
            </w:r>
            <w:proofErr w:type="gramEnd"/>
            <w:r>
              <w:rPr>
                <w:rFonts w:ascii="仿宋_GB2312" w:hAnsi="宋体" w:cs="宋体" w:hint="eastAsia"/>
                <w:color w:val="000000"/>
                <w:kern w:val="0"/>
                <w:sz w:val="24"/>
                <w:szCs w:val="24"/>
              </w:rPr>
              <w:t>路径理论分析，提出构建相关法律法规体系、建立激励措施、设立约束体系等公共基础设施绿色低碳发展的具体对策建议。</w:t>
            </w:r>
          </w:p>
        </w:tc>
      </w:tr>
      <w:tr w:rsidR="005F7F4D">
        <w:trPr>
          <w:trHeight w:val="1114"/>
        </w:trPr>
        <w:tc>
          <w:tcPr>
            <w:tcW w:w="765" w:type="dxa"/>
            <w:tcBorders>
              <w:tl2br w:val="nil"/>
              <w:tr2bl w:val="nil"/>
            </w:tcBorders>
            <w:shd w:val="clear" w:color="auto" w:fill="auto"/>
            <w:vAlign w:val="center"/>
          </w:tcPr>
          <w:p w:rsidR="005F7F4D" w:rsidRDefault="00650C27">
            <w:pPr>
              <w:widowControl/>
              <w:ind w:firstLineChars="0" w:firstLine="0"/>
              <w:jc w:val="center"/>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105</w:t>
            </w:r>
          </w:p>
        </w:tc>
        <w:tc>
          <w:tcPr>
            <w:tcW w:w="469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新形势</w:t>
            </w:r>
            <w:proofErr w:type="gramStart"/>
            <w:r>
              <w:rPr>
                <w:rFonts w:ascii="仿宋_GB2312" w:hAnsi="宋体" w:cs="宋体" w:hint="eastAsia"/>
                <w:color w:val="000000"/>
                <w:kern w:val="0"/>
                <w:sz w:val="24"/>
                <w:szCs w:val="24"/>
              </w:rPr>
              <w:t>下医院</w:t>
            </w:r>
            <w:proofErr w:type="gramEnd"/>
            <w:r>
              <w:rPr>
                <w:rFonts w:ascii="仿宋_GB2312" w:hAnsi="宋体" w:cs="宋体" w:hint="eastAsia"/>
                <w:color w:val="000000"/>
                <w:kern w:val="0"/>
                <w:sz w:val="24"/>
                <w:szCs w:val="24"/>
              </w:rPr>
              <w:t>继续医学教育对促进科技进步与人才培养的作用与效果研究</w:t>
            </w:r>
          </w:p>
        </w:tc>
        <w:tc>
          <w:tcPr>
            <w:tcW w:w="9345" w:type="dxa"/>
            <w:tcBorders>
              <w:tl2br w:val="nil"/>
              <w:tr2bl w:val="nil"/>
            </w:tcBorders>
            <w:shd w:val="clear" w:color="auto" w:fill="auto"/>
            <w:vAlign w:val="center"/>
          </w:tcPr>
          <w:p w:rsidR="005F7F4D" w:rsidRDefault="00650C27">
            <w:pPr>
              <w:widowControl/>
              <w:spacing w:line="300" w:lineRule="exact"/>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调研医院继续医学教育开展状况，研究继续医学教育对促进新技术引进应用、科技创新、科技成果转化应用、创新人才培养等方面的作用，分析存在的问题，提出加强继续医学教育促进科技进步、人才培养的对策建议。</w:t>
            </w:r>
          </w:p>
        </w:tc>
      </w:tr>
    </w:tbl>
    <w:p w:rsidR="005F7F4D" w:rsidRDefault="005F7F4D">
      <w:pPr>
        <w:spacing w:line="580" w:lineRule="exact"/>
        <w:ind w:right="648" w:firstLine="668"/>
        <w:rPr>
          <w:rFonts w:ascii="仿宋_GB2312"/>
          <w:sz w:val="32"/>
          <w:szCs w:val="32"/>
        </w:rPr>
      </w:pPr>
    </w:p>
    <w:p w:rsidR="005F7F4D" w:rsidRDefault="005F7F4D">
      <w:pPr>
        <w:spacing w:line="560" w:lineRule="exact"/>
        <w:ind w:firstLineChars="0" w:firstLine="0"/>
        <w:rPr>
          <w:rFonts w:ascii="仿宋_GB2312"/>
          <w:bCs/>
          <w:sz w:val="32"/>
          <w:szCs w:val="32"/>
        </w:rPr>
      </w:pPr>
    </w:p>
    <w:p w:rsidR="005F7F4D" w:rsidRDefault="005F7F4D">
      <w:pPr>
        <w:spacing w:line="560" w:lineRule="exact"/>
        <w:ind w:firstLineChars="0" w:firstLine="0"/>
        <w:rPr>
          <w:rFonts w:ascii="仿宋_GB2312"/>
          <w:bCs/>
          <w:sz w:val="32"/>
          <w:szCs w:val="32"/>
        </w:rPr>
        <w:sectPr w:rsidR="005F7F4D">
          <w:headerReference w:type="even" r:id="rId8"/>
          <w:headerReference w:type="default" r:id="rId9"/>
          <w:footerReference w:type="even" r:id="rId10"/>
          <w:footerReference w:type="default" r:id="rId11"/>
          <w:headerReference w:type="first" r:id="rId12"/>
          <w:footerReference w:type="first" r:id="rId13"/>
          <w:pgSz w:w="16838" w:h="11906" w:orient="landscape"/>
          <w:pgMar w:top="1587" w:right="2098" w:bottom="1474" w:left="1985" w:header="851" w:footer="1587" w:gutter="0"/>
          <w:cols w:space="0"/>
          <w:docGrid w:type="linesAndChars" w:linePitch="589" w:charSpace="2837"/>
        </w:sectPr>
      </w:pPr>
    </w:p>
    <w:p w:rsidR="005F7F4D" w:rsidRDefault="005F7F4D">
      <w:pPr>
        <w:spacing w:line="560" w:lineRule="exact"/>
        <w:ind w:firstLineChars="0" w:firstLine="0"/>
        <w:rPr>
          <w:rFonts w:ascii="仿宋_GB2312"/>
          <w:bCs/>
          <w:sz w:val="32"/>
          <w:szCs w:val="32"/>
        </w:rPr>
      </w:pPr>
    </w:p>
    <w:tbl>
      <w:tblPr>
        <w:tblpPr w:horzAnchor="margin" w:tblpXSpec="center" w:tblpYSpec="bottom"/>
        <w:tblOverlap w:val="never"/>
        <w:tblW w:w="0" w:type="auto"/>
        <w:tblInd w:w="-223" w:type="dxa"/>
        <w:tblBorders>
          <w:top w:val="single" w:sz="8" w:space="0" w:color="auto"/>
          <w:bottom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840"/>
      </w:tblGrid>
      <w:tr w:rsidR="005F7F4D">
        <w:trPr>
          <w:trHeight w:val="599"/>
        </w:trPr>
        <w:tc>
          <w:tcPr>
            <w:tcW w:w="8840" w:type="dxa"/>
            <w:tcBorders>
              <w:top w:val="single" w:sz="8" w:space="0" w:color="auto"/>
              <w:left w:val="nil"/>
              <w:bottom w:val="single" w:sz="8" w:space="0" w:color="auto"/>
              <w:right w:val="nil"/>
            </w:tcBorders>
            <w:shd w:val="clear" w:color="auto" w:fill="auto"/>
          </w:tcPr>
          <w:p w:rsidR="005F7F4D" w:rsidRDefault="00650C27" w:rsidP="00702195">
            <w:pPr>
              <w:ind w:leftChars="100" w:left="316" w:rightChars="100" w:right="316" w:firstLineChars="0" w:firstLine="0"/>
              <w:rPr>
                <w:rFonts w:ascii="仿宋_GB2312"/>
                <w:sz w:val="32"/>
                <w:szCs w:val="32"/>
                <w:bdr w:val="single" w:sz="6" w:space="0" w:color="auto"/>
              </w:rPr>
            </w:pPr>
            <w:r>
              <w:rPr>
                <w:rFonts w:ascii="仿宋_GB2312" w:hint="eastAsia"/>
                <w:sz w:val="28"/>
                <w:szCs w:val="28"/>
              </w:rPr>
              <w:t>天津市科学技术协会                   20</w:t>
            </w:r>
            <w:r>
              <w:rPr>
                <w:rFonts w:ascii="仿宋_GB2312"/>
                <w:sz w:val="28"/>
                <w:szCs w:val="28"/>
                <w:lang w:val="en"/>
              </w:rPr>
              <w:t>23</w:t>
            </w:r>
            <w:r>
              <w:rPr>
                <w:rFonts w:ascii="仿宋_GB2312" w:hint="eastAsia"/>
                <w:sz w:val="28"/>
                <w:szCs w:val="28"/>
              </w:rPr>
              <w:t>年</w:t>
            </w:r>
            <w:r>
              <w:rPr>
                <w:rFonts w:ascii="仿宋_GB2312"/>
                <w:sz w:val="28"/>
                <w:szCs w:val="28"/>
                <w:lang w:val="en"/>
              </w:rPr>
              <w:t>9</w:t>
            </w:r>
            <w:r>
              <w:rPr>
                <w:rFonts w:ascii="仿宋_GB2312" w:hint="eastAsia"/>
                <w:sz w:val="28"/>
                <w:szCs w:val="28"/>
              </w:rPr>
              <w:t>月</w:t>
            </w:r>
            <w:r>
              <w:rPr>
                <w:rFonts w:ascii="仿宋_GB2312"/>
                <w:sz w:val="28"/>
                <w:szCs w:val="28"/>
                <w:lang w:val="en"/>
              </w:rPr>
              <w:t>19</w:t>
            </w:r>
            <w:r>
              <w:rPr>
                <w:rFonts w:ascii="仿宋_GB2312" w:hint="eastAsia"/>
                <w:sz w:val="28"/>
                <w:szCs w:val="28"/>
              </w:rPr>
              <w:t>日印发</w:t>
            </w:r>
          </w:p>
        </w:tc>
      </w:tr>
    </w:tbl>
    <w:p w:rsidR="005F7F4D" w:rsidRDefault="005F7F4D">
      <w:pPr>
        <w:spacing w:line="560" w:lineRule="exact"/>
        <w:ind w:firstLineChars="0" w:firstLine="0"/>
        <w:rPr>
          <w:rFonts w:ascii="仿宋_GB2312"/>
          <w:bCs/>
          <w:sz w:val="32"/>
          <w:szCs w:val="32"/>
        </w:rPr>
      </w:pPr>
    </w:p>
    <w:sectPr w:rsidR="005F7F4D">
      <w:pgSz w:w="11906" w:h="16838"/>
      <w:pgMar w:top="2098" w:right="1474" w:bottom="1984" w:left="1587" w:header="851" w:footer="1587" w:gutter="0"/>
      <w:cols w:space="0"/>
      <w:docGrid w:type="linesAndChars" w:linePitch="589" w:charSpace="3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C8" w:rsidRDefault="00CA3EC8" w:rsidP="00702195">
      <w:pPr>
        <w:ind w:firstLine="600"/>
      </w:pPr>
      <w:r>
        <w:separator/>
      </w:r>
    </w:p>
  </w:endnote>
  <w:endnote w:type="continuationSeparator" w:id="0">
    <w:p w:rsidR="00CA3EC8" w:rsidRDefault="00CA3EC8" w:rsidP="00702195">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D" w:rsidRDefault="00650C27">
    <w:pPr>
      <w:pStyle w:val="a8"/>
      <w:framePr w:wrap="around" w:vAnchor="text" w:hAnchor="margin" w:xAlign="outside" w:y="1"/>
      <w:ind w:firstLine="360"/>
      <w:rPr>
        <w:rStyle w:val="ac"/>
      </w:rPr>
    </w:pPr>
    <w:r>
      <w:rPr>
        <w:rStyle w:val="ac"/>
      </w:rPr>
      <w:fldChar w:fldCharType="begin"/>
    </w:r>
    <w:r>
      <w:rPr>
        <w:rStyle w:val="ac"/>
      </w:rPr>
      <w:instrText xml:space="preserve">PAGE  </w:instrText>
    </w:r>
    <w:r>
      <w:rPr>
        <w:rStyle w:val="ac"/>
      </w:rPr>
      <w:fldChar w:fldCharType="end"/>
    </w:r>
  </w:p>
  <w:p w:rsidR="005F7F4D" w:rsidRDefault="005F7F4D">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D" w:rsidRDefault="00650C27">
    <w:pPr>
      <w:pStyle w:val="a8"/>
      <w:framePr w:wrap="around" w:vAnchor="text" w:hAnchor="margin" w:xAlign="outside" w:y="1"/>
      <w:adjustRightInd w:val="0"/>
      <w:ind w:firstLineChars="0" w:firstLine="0"/>
      <w:rPr>
        <w:rStyle w:val="ac"/>
        <w:sz w:val="28"/>
        <w:szCs w:val="28"/>
      </w:rPr>
    </w:pPr>
    <w:r>
      <w:rPr>
        <w:rStyle w:val="ac"/>
        <w:rFonts w:hint="eastAsia"/>
        <w:sz w:val="28"/>
        <w:szCs w:val="28"/>
      </w:rPr>
      <w:t>—</w:t>
    </w:r>
    <w:r>
      <w:rPr>
        <w:rStyle w:val="ac"/>
        <w:rFonts w:hint="eastAsia"/>
        <w:sz w:val="28"/>
        <w:szCs w:val="28"/>
      </w:rPr>
      <w:t xml:space="preserve"> </w:t>
    </w:r>
    <w:r>
      <w:rPr>
        <w:rStyle w:val="ac"/>
        <w:rFonts w:ascii="宋体" w:eastAsia="宋体" w:hAnsi="宋体"/>
        <w:sz w:val="28"/>
        <w:szCs w:val="28"/>
      </w:rPr>
      <w:fldChar w:fldCharType="begin"/>
    </w:r>
    <w:r>
      <w:rPr>
        <w:rStyle w:val="ac"/>
        <w:rFonts w:ascii="宋体" w:eastAsia="宋体" w:hAnsi="宋体"/>
        <w:sz w:val="28"/>
        <w:szCs w:val="28"/>
      </w:rPr>
      <w:instrText xml:space="preserve">PAGE  </w:instrText>
    </w:r>
    <w:r>
      <w:rPr>
        <w:rStyle w:val="ac"/>
        <w:rFonts w:ascii="宋体" w:eastAsia="宋体" w:hAnsi="宋体"/>
        <w:sz w:val="28"/>
        <w:szCs w:val="28"/>
      </w:rPr>
      <w:fldChar w:fldCharType="separate"/>
    </w:r>
    <w:r w:rsidR="00D51B1E">
      <w:rPr>
        <w:rStyle w:val="ac"/>
        <w:rFonts w:ascii="宋体" w:eastAsia="宋体" w:hAnsi="宋体"/>
        <w:noProof/>
        <w:sz w:val="28"/>
        <w:szCs w:val="28"/>
      </w:rPr>
      <w:t>18</w:t>
    </w:r>
    <w:r>
      <w:rPr>
        <w:rStyle w:val="ac"/>
        <w:rFonts w:ascii="宋体" w:eastAsia="宋体" w:hAnsi="宋体"/>
        <w:sz w:val="28"/>
        <w:szCs w:val="28"/>
      </w:rPr>
      <w:fldChar w:fldCharType="end"/>
    </w:r>
    <w:r>
      <w:rPr>
        <w:rStyle w:val="ac"/>
        <w:rFonts w:hint="eastAsia"/>
        <w:sz w:val="28"/>
        <w:szCs w:val="28"/>
      </w:rPr>
      <w:t xml:space="preserve"> </w:t>
    </w:r>
    <w:r>
      <w:rPr>
        <w:rStyle w:val="ac"/>
        <w:rFonts w:hint="eastAsia"/>
        <w:sz w:val="28"/>
        <w:szCs w:val="28"/>
      </w:rPr>
      <w:t>—</w:t>
    </w:r>
  </w:p>
  <w:p w:rsidR="005F7F4D" w:rsidRDefault="005F7F4D">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D" w:rsidRDefault="005F7F4D">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C8" w:rsidRDefault="00CA3EC8" w:rsidP="00702195">
      <w:pPr>
        <w:ind w:firstLine="600"/>
      </w:pPr>
      <w:r>
        <w:separator/>
      </w:r>
    </w:p>
  </w:footnote>
  <w:footnote w:type="continuationSeparator" w:id="0">
    <w:p w:rsidR="00CA3EC8" w:rsidRDefault="00CA3EC8" w:rsidP="00702195">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D" w:rsidRDefault="005F7F4D">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D" w:rsidRDefault="005F7F4D">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D" w:rsidRDefault="005F7F4D">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58"/>
  <w:drawingGridVerticalSpacing w:val="29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63"/>
    <w:rsid w:val="9FE33634"/>
    <w:rsid w:val="A47FA017"/>
    <w:rsid w:val="B37D840C"/>
    <w:rsid w:val="B7DFD6BE"/>
    <w:rsid w:val="BBCF93F1"/>
    <w:rsid w:val="BF7F9FAD"/>
    <w:rsid w:val="D1F3C52E"/>
    <w:rsid w:val="DFF318A2"/>
    <w:rsid w:val="E7FB9396"/>
    <w:rsid w:val="ED75E06E"/>
    <w:rsid w:val="EEE7EE8A"/>
    <w:rsid w:val="F62F7567"/>
    <w:rsid w:val="F7FBC6BC"/>
    <w:rsid w:val="FA6E7AA2"/>
    <w:rsid w:val="FAF3370C"/>
    <w:rsid w:val="FB6F69F7"/>
    <w:rsid w:val="FDAD6C72"/>
    <w:rsid w:val="FE99DD31"/>
    <w:rsid w:val="FED57836"/>
    <w:rsid w:val="FEFD5BE0"/>
    <w:rsid w:val="FF9BC4E9"/>
    <w:rsid w:val="FFAE3EFC"/>
    <w:rsid w:val="FFFBD051"/>
    <w:rsid w:val="FFFF4D16"/>
    <w:rsid w:val="00001BBF"/>
    <w:rsid w:val="00002052"/>
    <w:rsid w:val="000028A2"/>
    <w:rsid w:val="00006267"/>
    <w:rsid w:val="0001088C"/>
    <w:rsid w:val="00016502"/>
    <w:rsid w:val="00020416"/>
    <w:rsid w:val="0002517C"/>
    <w:rsid w:val="00030515"/>
    <w:rsid w:val="00034CA3"/>
    <w:rsid w:val="0003582C"/>
    <w:rsid w:val="00042964"/>
    <w:rsid w:val="00043F53"/>
    <w:rsid w:val="00046E43"/>
    <w:rsid w:val="00052497"/>
    <w:rsid w:val="00054763"/>
    <w:rsid w:val="0005506B"/>
    <w:rsid w:val="00055B12"/>
    <w:rsid w:val="00056A5F"/>
    <w:rsid w:val="000601F5"/>
    <w:rsid w:val="00060F32"/>
    <w:rsid w:val="000629D9"/>
    <w:rsid w:val="00064346"/>
    <w:rsid w:val="000667C3"/>
    <w:rsid w:val="00073AFD"/>
    <w:rsid w:val="0007455E"/>
    <w:rsid w:val="0007534D"/>
    <w:rsid w:val="00075C08"/>
    <w:rsid w:val="00076AA7"/>
    <w:rsid w:val="00080E66"/>
    <w:rsid w:val="00081EF6"/>
    <w:rsid w:val="000820AE"/>
    <w:rsid w:val="0008563A"/>
    <w:rsid w:val="0009020F"/>
    <w:rsid w:val="00096BB5"/>
    <w:rsid w:val="00097661"/>
    <w:rsid w:val="000A2C2A"/>
    <w:rsid w:val="000A49DE"/>
    <w:rsid w:val="000A7AC8"/>
    <w:rsid w:val="000B5E37"/>
    <w:rsid w:val="000C0E5B"/>
    <w:rsid w:val="000C4670"/>
    <w:rsid w:val="000C6B6C"/>
    <w:rsid w:val="000D08E3"/>
    <w:rsid w:val="000D3C16"/>
    <w:rsid w:val="000D7061"/>
    <w:rsid w:val="000D7ED2"/>
    <w:rsid w:val="000E0907"/>
    <w:rsid w:val="000E11ED"/>
    <w:rsid w:val="000E304F"/>
    <w:rsid w:val="000E3AB8"/>
    <w:rsid w:val="000E47C7"/>
    <w:rsid w:val="000E5D63"/>
    <w:rsid w:val="000E5DB9"/>
    <w:rsid w:val="000E6212"/>
    <w:rsid w:val="000F2C0C"/>
    <w:rsid w:val="000F5405"/>
    <w:rsid w:val="000F5FE9"/>
    <w:rsid w:val="000F7318"/>
    <w:rsid w:val="000F7D68"/>
    <w:rsid w:val="00101E82"/>
    <w:rsid w:val="00111389"/>
    <w:rsid w:val="00113909"/>
    <w:rsid w:val="00121761"/>
    <w:rsid w:val="001234D7"/>
    <w:rsid w:val="00132C4D"/>
    <w:rsid w:val="00147F17"/>
    <w:rsid w:val="00153137"/>
    <w:rsid w:val="00155FC0"/>
    <w:rsid w:val="00160BDC"/>
    <w:rsid w:val="00160CA3"/>
    <w:rsid w:val="0016180E"/>
    <w:rsid w:val="00170F7B"/>
    <w:rsid w:val="00171772"/>
    <w:rsid w:val="0017281C"/>
    <w:rsid w:val="001730EE"/>
    <w:rsid w:val="00174A68"/>
    <w:rsid w:val="00182442"/>
    <w:rsid w:val="001841DC"/>
    <w:rsid w:val="001978CA"/>
    <w:rsid w:val="001A28E2"/>
    <w:rsid w:val="001A559F"/>
    <w:rsid w:val="001A5CA8"/>
    <w:rsid w:val="001A5D37"/>
    <w:rsid w:val="001A7158"/>
    <w:rsid w:val="001B0317"/>
    <w:rsid w:val="001B4D01"/>
    <w:rsid w:val="001C59B3"/>
    <w:rsid w:val="001D21DF"/>
    <w:rsid w:val="001E04A1"/>
    <w:rsid w:val="001E2862"/>
    <w:rsid w:val="001F054A"/>
    <w:rsid w:val="001F5434"/>
    <w:rsid w:val="001F7BD9"/>
    <w:rsid w:val="00210467"/>
    <w:rsid w:val="0021461C"/>
    <w:rsid w:val="002149F7"/>
    <w:rsid w:val="002222A6"/>
    <w:rsid w:val="0022562C"/>
    <w:rsid w:val="00225C71"/>
    <w:rsid w:val="00227104"/>
    <w:rsid w:val="002302DA"/>
    <w:rsid w:val="00240A1B"/>
    <w:rsid w:val="00240A66"/>
    <w:rsid w:val="00240DBA"/>
    <w:rsid w:val="0024352C"/>
    <w:rsid w:val="00245150"/>
    <w:rsid w:val="002452FD"/>
    <w:rsid w:val="00245325"/>
    <w:rsid w:val="0026394A"/>
    <w:rsid w:val="00266736"/>
    <w:rsid w:val="002748C2"/>
    <w:rsid w:val="00274FA9"/>
    <w:rsid w:val="00275E11"/>
    <w:rsid w:val="00276BE5"/>
    <w:rsid w:val="00281F99"/>
    <w:rsid w:val="0028396D"/>
    <w:rsid w:val="00284A68"/>
    <w:rsid w:val="00286E4B"/>
    <w:rsid w:val="00287FC8"/>
    <w:rsid w:val="0029353B"/>
    <w:rsid w:val="002A3C01"/>
    <w:rsid w:val="002A441A"/>
    <w:rsid w:val="002B058D"/>
    <w:rsid w:val="002C06D5"/>
    <w:rsid w:val="002C2E5B"/>
    <w:rsid w:val="002C62A8"/>
    <w:rsid w:val="002C7D49"/>
    <w:rsid w:val="002D0E8C"/>
    <w:rsid w:val="002D2ACA"/>
    <w:rsid w:val="002E06CC"/>
    <w:rsid w:val="002E1D71"/>
    <w:rsid w:val="002E309F"/>
    <w:rsid w:val="002E41AA"/>
    <w:rsid w:val="002E77BE"/>
    <w:rsid w:val="002F045E"/>
    <w:rsid w:val="002F0E5F"/>
    <w:rsid w:val="002F3CC0"/>
    <w:rsid w:val="00312B7E"/>
    <w:rsid w:val="00314132"/>
    <w:rsid w:val="00323DC8"/>
    <w:rsid w:val="00326891"/>
    <w:rsid w:val="00333967"/>
    <w:rsid w:val="003352FF"/>
    <w:rsid w:val="003408CF"/>
    <w:rsid w:val="00342326"/>
    <w:rsid w:val="003437BA"/>
    <w:rsid w:val="003508A3"/>
    <w:rsid w:val="0035181D"/>
    <w:rsid w:val="0035373B"/>
    <w:rsid w:val="00354DAC"/>
    <w:rsid w:val="00355E40"/>
    <w:rsid w:val="00356D73"/>
    <w:rsid w:val="0035710E"/>
    <w:rsid w:val="00362250"/>
    <w:rsid w:val="00366EF2"/>
    <w:rsid w:val="00370F73"/>
    <w:rsid w:val="003758A3"/>
    <w:rsid w:val="003815D2"/>
    <w:rsid w:val="00385F78"/>
    <w:rsid w:val="00387112"/>
    <w:rsid w:val="00395459"/>
    <w:rsid w:val="003A038D"/>
    <w:rsid w:val="003A0C5F"/>
    <w:rsid w:val="003A5AB5"/>
    <w:rsid w:val="003B0112"/>
    <w:rsid w:val="003B4245"/>
    <w:rsid w:val="003B4694"/>
    <w:rsid w:val="003B5CF4"/>
    <w:rsid w:val="003B7CE1"/>
    <w:rsid w:val="003C0AD5"/>
    <w:rsid w:val="003C0BA0"/>
    <w:rsid w:val="003C27E3"/>
    <w:rsid w:val="003D5149"/>
    <w:rsid w:val="003E2A90"/>
    <w:rsid w:val="003E3815"/>
    <w:rsid w:val="003E4606"/>
    <w:rsid w:val="003E50F9"/>
    <w:rsid w:val="003E7826"/>
    <w:rsid w:val="00401636"/>
    <w:rsid w:val="0040372C"/>
    <w:rsid w:val="004039A5"/>
    <w:rsid w:val="004051D3"/>
    <w:rsid w:val="00410557"/>
    <w:rsid w:val="00414781"/>
    <w:rsid w:val="004158D5"/>
    <w:rsid w:val="00416711"/>
    <w:rsid w:val="0042116B"/>
    <w:rsid w:val="00421C8F"/>
    <w:rsid w:val="00422865"/>
    <w:rsid w:val="00422D91"/>
    <w:rsid w:val="00425047"/>
    <w:rsid w:val="00434C80"/>
    <w:rsid w:val="004374CB"/>
    <w:rsid w:val="00441EC9"/>
    <w:rsid w:val="00451C2C"/>
    <w:rsid w:val="0046404C"/>
    <w:rsid w:val="00465BA2"/>
    <w:rsid w:val="00470AFD"/>
    <w:rsid w:val="00472949"/>
    <w:rsid w:val="00472992"/>
    <w:rsid w:val="00480185"/>
    <w:rsid w:val="00486A3B"/>
    <w:rsid w:val="004872E2"/>
    <w:rsid w:val="00497569"/>
    <w:rsid w:val="004A6C3A"/>
    <w:rsid w:val="004A6EEA"/>
    <w:rsid w:val="004B68E8"/>
    <w:rsid w:val="004C094D"/>
    <w:rsid w:val="004C396D"/>
    <w:rsid w:val="004D739E"/>
    <w:rsid w:val="004E44B0"/>
    <w:rsid w:val="004E7189"/>
    <w:rsid w:val="0050291C"/>
    <w:rsid w:val="005038BC"/>
    <w:rsid w:val="00507EB2"/>
    <w:rsid w:val="00511085"/>
    <w:rsid w:val="00512018"/>
    <w:rsid w:val="00513C00"/>
    <w:rsid w:val="00514ED3"/>
    <w:rsid w:val="00514EFD"/>
    <w:rsid w:val="0051649F"/>
    <w:rsid w:val="005211BF"/>
    <w:rsid w:val="005214F8"/>
    <w:rsid w:val="00522F5D"/>
    <w:rsid w:val="005233A2"/>
    <w:rsid w:val="00526069"/>
    <w:rsid w:val="00530155"/>
    <w:rsid w:val="00532871"/>
    <w:rsid w:val="0053512F"/>
    <w:rsid w:val="00540FC9"/>
    <w:rsid w:val="00541C29"/>
    <w:rsid w:val="005421C0"/>
    <w:rsid w:val="00551561"/>
    <w:rsid w:val="00552C5D"/>
    <w:rsid w:val="00557EFC"/>
    <w:rsid w:val="00562484"/>
    <w:rsid w:val="00572297"/>
    <w:rsid w:val="005800DA"/>
    <w:rsid w:val="00591B31"/>
    <w:rsid w:val="005925F6"/>
    <w:rsid w:val="00592CA8"/>
    <w:rsid w:val="00593812"/>
    <w:rsid w:val="005938C5"/>
    <w:rsid w:val="00593B33"/>
    <w:rsid w:val="00593B6A"/>
    <w:rsid w:val="005B2004"/>
    <w:rsid w:val="005B67F9"/>
    <w:rsid w:val="005B75AD"/>
    <w:rsid w:val="005B777C"/>
    <w:rsid w:val="005C00E1"/>
    <w:rsid w:val="005C0461"/>
    <w:rsid w:val="005C17F3"/>
    <w:rsid w:val="005C5B8C"/>
    <w:rsid w:val="005C6DF6"/>
    <w:rsid w:val="005D001B"/>
    <w:rsid w:val="005D174B"/>
    <w:rsid w:val="005D2403"/>
    <w:rsid w:val="005D645B"/>
    <w:rsid w:val="005D6A0B"/>
    <w:rsid w:val="005D7D31"/>
    <w:rsid w:val="005E3E7D"/>
    <w:rsid w:val="005F0A0D"/>
    <w:rsid w:val="005F0F5D"/>
    <w:rsid w:val="005F1138"/>
    <w:rsid w:val="005F3836"/>
    <w:rsid w:val="005F4F19"/>
    <w:rsid w:val="005F5E30"/>
    <w:rsid w:val="005F7F4D"/>
    <w:rsid w:val="00605141"/>
    <w:rsid w:val="006051F3"/>
    <w:rsid w:val="00614400"/>
    <w:rsid w:val="00614C05"/>
    <w:rsid w:val="0061516D"/>
    <w:rsid w:val="006229E9"/>
    <w:rsid w:val="0062300B"/>
    <w:rsid w:val="00630392"/>
    <w:rsid w:val="00632D5B"/>
    <w:rsid w:val="00633E89"/>
    <w:rsid w:val="00641308"/>
    <w:rsid w:val="0064342A"/>
    <w:rsid w:val="006438B2"/>
    <w:rsid w:val="00650C27"/>
    <w:rsid w:val="00654790"/>
    <w:rsid w:val="006564C1"/>
    <w:rsid w:val="0065671D"/>
    <w:rsid w:val="00657C9A"/>
    <w:rsid w:val="00665EA5"/>
    <w:rsid w:val="0067774B"/>
    <w:rsid w:val="006804C1"/>
    <w:rsid w:val="00682F5B"/>
    <w:rsid w:val="00686176"/>
    <w:rsid w:val="006932A7"/>
    <w:rsid w:val="00693A51"/>
    <w:rsid w:val="00693DDC"/>
    <w:rsid w:val="006976B9"/>
    <w:rsid w:val="00697C60"/>
    <w:rsid w:val="00697C6B"/>
    <w:rsid w:val="006A2187"/>
    <w:rsid w:val="006A3CF8"/>
    <w:rsid w:val="006B0A8C"/>
    <w:rsid w:val="006C0317"/>
    <w:rsid w:val="006C1025"/>
    <w:rsid w:val="006C1BBB"/>
    <w:rsid w:val="006D12E1"/>
    <w:rsid w:val="006D19EC"/>
    <w:rsid w:val="006D58B2"/>
    <w:rsid w:val="006E1B14"/>
    <w:rsid w:val="006E23EE"/>
    <w:rsid w:val="006E3942"/>
    <w:rsid w:val="006F0DFA"/>
    <w:rsid w:val="00702195"/>
    <w:rsid w:val="007073A8"/>
    <w:rsid w:val="0071301E"/>
    <w:rsid w:val="00714E66"/>
    <w:rsid w:val="007214FA"/>
    <w:rsid w:val="00722412"/>
    <w:rsid w:val="00726F33"/>
    <w:rsid w:val="00726F72"/>
    <w:rsid w:val="007303DF"/>
    <w:rsid w:val="00731F85"/>
    <w:rsid w:val="00736A27"/>
    <w:rsid w:val="00742A48"/>
    <w:rsid w:val="00746D5D"/>
    <w:rsid w:val="00752D9C"/>
    <w:rsid w:val="00753B11"/>
    <w:rsid w:val="00753C63"/>
    <w:rsid w:val="007562BB"/>
    <w:rsid w:val="00757163"/>
    <w:rsid w:val="00764E1C"/>
    <w:rsid w:val="00770D29"/>
    <w:rsid w:val="00775913"/>
    <w:rsid w:val="00777EE5"/>
    <w:rsid w:val="00784AB1"/>
    <w:rsid w:val="007906C2"/>
    <w:rsid w:val="007932BE"/>
    <w:rsid w:val="00794DF3"/>
    <w:rsid w:val="007A2853"/>
    <w:rsid w:val="007A32B4"/>
    <w:rsid w:val="007A389F"/>
    <w:rsid w:val="007A4E69"/>
    <w:rsid w:val="007C127D"/>
    <w:rsid w:val="007C4C18"/>
    <w:rsid w:val="007D3068"/>
    <w:rsid w:val="007D51EE"/>
    <w:rsid w:val="007D73AC"/>
    <w:rsid w:val="007E282D"/>
    <w:rsid w:val="007E5449"/>
    <w:rsid w:val="007E5B00"/>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63E55"/>
    <w:rsid w:val="00871D9B"/>
    <w:rsid w:val="00872260"/>
    <w:rsid w:val="00873AD7"/>
    <w:rsid w:val="00874850"/>
    <w:rsid w:val="00877546"/>
    <w:rsid w:val="00881098"/>
    <w:rsid w:val="00884DE9"/>
    <w:rsid w:val="008874A9"/>
    <w:rsid w:val="00892E65"/>
    <w:rsid w:val="00893139"/>
    <w:rsid w:val="00896F1F"/>
    <w:rsid w:val="008C1F09"/>
    <w:rsid w:val="008C425A"/>
    <w:rsid w:val="008C6A4F"/>
    <w:rsid w:val="008C7D28"/>
    <w:rsid w:val="008E01F2"/>
    <w:rsid w:val="008E4117"/>
    <w:rsid w:val="008E756C"/>
    <w:rsid w:val="008F06FE"/>
    <w:rsid w:val="008F47AF"/>
    <w:rsid w:val="00905136"/>
    <w:rsid w:val="009066F4"/>
    <w:rsid w:val="009105BE"/>
    <w:rsid w:val="00910A63"/>
    <w:rsid w:val="009111D0"/>
    <w:rsid w:val="009140B4"/>
    <w:rsid w:val="00926CE3"/>
    <w:rsid w:val="009316CE"/>
    <w:rsid w:val="00931ABA"/>
    <w:rsid w:val="00933F4A"/>
    <w:rsid w:val="0093505A"/>
    <w:rsid w:val="00937941"/>
    <w:rsid w:val="009379A0"/>
    <w:rsid w:val="009443B1"/>
    <w:rsid w:val="00944CA8"/>
    <w:rsid w:val="00944D9D"/>
    <w:rsid w:val="00946984"/>
    <w:rsid w:val="00952704"/>
    <w:rsid w:val="00954128"/>
    <w:rsid w:val="00956254"/>
    <w:rsid w:val="009635FB"/>
    <w:rsid w:val="0096383C"/>
    <w:rsid w:val="00980D01"/>
    <w:rsid w:val="00981465"/>
    <w:rsid w:val="00981952"/>
    <w:rsid w:val="00984120"/>
    <w:rsid w:val="00987E69"/>
    <w:rsid w:val="009913EF"/>
    <w:rsid w:val="00992CD8"/>
    <w:rsid w:val="00995AF3"/>
    <w:rsid w:val="00996107"/>
    <w:rsid w:val="009967BA"/>
    <w:rsid w:val="009974D0"/>
    <w:rsid w:val="00997D98"/>
    <w:rsid w:val="009A64B3"/>
    <w:rsid w:val="009B0850"/>
    <w:rsid w:val="009B156F"/>
    <w:rsid w:val="009C5B15"/>
    <w:rsid w:val="009D0ABC"/>
    <w:rsid w:val="009D2E64"/>
    <w:rsid w:val="009D4449"/>
    <w:rsid w:val="009D5F1E"/>
    <w:rsid w:val="009D78FB"/>
    <w:rsid w:val="009D7F8B"/>
    <w:rsid w:val="009E0D20"/>
    <w:rsid w:val="009E180A"/>
    <w:rsid w:val="009E1E83"/>
    <w:rsid w:val="009E3930"/>
    <w:rsid w:val="009E4692"/>
    <w:rsid w:val="009E6445"/>
    <w:rsid w:val="009F0875"/>
    <w:rsid w:val="009F1534"/>
    <w:rsid w:val="009F403E"/>
    <w:rsid w:val="009F5817"/>
    <w:rsid w:val="009F6A02"/>
    <w:rsid w:val="009F72E9"/>
    <w:rsid w:val="00A056EF"/>
    <w:rsid w:val="00A12D6D"/>
    <w:rsid w:val="00A16924"/>
    <w:rsid w:val="00A1755E"/>
    <w:rsid w:val="00A25E14"/>
    <w:rsid w:val="00A27A13"/>
    <w:rsid w:val="00A43C3D"/>
    <w:rsid w:val="00A51DA4"/>
    <w:rsid w:val="00A579F0"/>
    <w:rsid w:val="00A61E20"/>
    <w:rsid w:val="00A64EA7"/>
    <w:rsid w:val="00A6622F"/>
    <w:rsid w:val="00A72008"/>
    <w:rsid w:val="00A739B6"/>
    <w:rsid w:val="00A778D3"/>
    <w:rsid w:val="00A831FB"/>
    <w:rsid w:val="00A90B36"/>
    <w:rsid w:val="00A9412D"/>
    <w:rsid w:val="00A95FF3"/>
    <w:rsid w:val="00A97854"/>
    <w:rsid w:val="00AA02A4"/>
    <w:rsid w:val="00AA45C3"/>
    <w:rsid w:val="00AA56D1"/>
    <w:rsid w:val="00AA5F4E"/>
    <w:rsid w:val="00AB4B9C"/>
    <w:rsid w:val="00AC4B89"/>
    <w:rsid w:val="00AC5146"/>
    <w:rsid w:val="00AC6EAE"/>
    <w:rsid w:val="00AD0E1D"/>
    <w:rsid w:val="00AD1B49"/>
    <w:rsid w:val="00AD1CAD"/>
    <w:rsid w:val="00AD43BA"/>
    <w:rsid w:val="00AD7459"/>
    <w:rsid w:val="00AE1D11"/>
    <w:rsid w:val="00AE21C1"/>
    <w:rsid w:val="00AE5B9F"/>
    <w:rsid w:val="00B00285"/>
    <w:rsid w:val="00B00FD2"/>
    <w:rsid w:val="00B02998"/>
    <w:rsid w:val="00B04ACC"/>
    <w:rsid w:val="00B05352"/>
    <w:rsid w:val="00B07514"/>
    <w:rsid w:val="00B1086B"/>
    <w:rsid w:val="00B174F7"/>
    <w:rsid w:val="00B24A19"/>
    <w:rsid w:val="00B26C3B"/>
    <w:rsid w:val="00B2784C"/>
    <w:rsid w:val="00B27852"/>
    <w:rsid w:val="00B27A40"/>
    <w:rsid w:val="00B27BBF"/>
    <w:rsid w:val="00B343EA"/>
    <w:rsid w:val="00B37318"/>
    <w:rsid w:val="00B37C3B"/>
    <w:rsid w:val="00B41B21"/>
    <w:rsid w:val="00B42713"/>
    <w:rsid w:val="00B50557"/>
    <w:rsid w:val="00B513FD"/>
    <w:rsid w:val="00B54912"/>
    <w:rsid w:val="00B62706"/>
    <w:rsid w:val="00B65ABD"/>
    <w:rsid w:val="00B6774F"/>
    <w:rsid w:val="00B7384A"/>
    <w:rsid w:val="00B74FCD"/>
    <w:rsid w:val="00B8230E"/>
    <w:rsid w:val="00B84D29"/>
    <w:rsid w:val="00B8636E"/>
    <w:rsid w:val="00B90886"/>
    <w:rsid w:val="00B949D8"/>
    <w:rsid w:val="00B95D45"/>
    <w:rsid w:val="00BA6090"/>
    <w:rsid w:val="00BA60A7"/>
    <w:rsid w:val="00BA7A6F"/>
    <w:rsid w:val="00BB141D"/>
    <w:rsid w:val="00BB605B"/>
    <w:rsid w:val="00BD176C"/>
    <w:rsid w:val="00BD1FA1"/>
    <w:rsid w:val="00BD2961"/>
    <w:rsid w:val="00BD5D99"/>
    <w:rsid w:val="00BE00C4"/>
    <w:rsid w:val="00BE6680"/>
    <w:rsid w:val="00BE6AF3"/>
    <w:rsid w:val="00C00805"/>
    <w:rsid w:val="00C0282D"/>
    <w:rsid w:val="00C050FC"/>
    <w:rsid w:val="00C0727E"/>
    <w:rsid w:val="00C1038D"/>
    <w:rsid w:val="00C10AE0"/>
    <w:rsid w:val="00C14CD2"/>
    <w:rsid w:val="00C16BC3"/>
    <w:rsid w:val="00C20D7D"/>
    <w:rsid w:val="00C213F7"/>
    <w:rsid w:val="00C24297"/>
    <w:rsid w:val="00C3325A"/>
    <w:rsid w:val="00C372C1"/>
    <w:rsid w:val="00C447B9"/>
    <w:rsid w:val="00C465A3"/>
    <w:rsid w:val="00C47CB1"/>
    <w:rsid w:val="00C51CD7"/>
    <w:rsid w:val="00C5385F"/>
    <w:rsid w:val="00C557EA"/>
    <w:rsid w:val="00C60705"/>
    <w:rsid w:val="00C640FA"/>
    <w:rsid w:val="00C67C69"/>
    <w:rsid w:val="00C738B2"/>
    <w:rsid w:val="00C763A2"/>
    <w:rsid w:val="00C76CB5"/>
    <w:rsid w:val="00C81016"/>
    <w:rsid w:val="00C83BCF"/>
    <w:rsid w:val="00C873CE"/>
    <w:rsid w:val="00C87D3B"/>
    <w:rsid w:val="00CA3EC8"/>
    <w:rsid w:val="00CA3FAF"/>
    <w:rsid w:val="00CA5A14"/>
    <w:rsid w:val="00CA7E78"/>
    <w:rsid w:val="00CB2641"/>
    <w:rsid w:val="00CB34DF"/>
    <w:rsid w:val="00CB7DC0"/>
    <w:rsid w:val="00CC1414"/>
    <w:rsid w:val="00CC7CE4"/>
    <w:rsid w:val="00CD0369"/>
    <w:rsid w:val="00CD0422"/>
    <w:rsid w:val="00CE0B6B"/>
    <w:rsid w:val="00CE1571"/>
    <w:rsid w:val="00CE3873"/>
    <w:rsid w:val="00CE4605"/>
    <w:rsid w:val="00CE6E72"/>
    <w:rsid w:val="00CF2004"/>
    <w:rsid w:val="00CF4472"/>
    <w:rsid w:val="00CF5732"/>
    <w:rsid w:val="00D00864"/>
    <w:rsid w:val="00D0383D"/>
    <w:rsid w:val="00D07ADE"/>
    <w:rsid w:val="00D150CB"/>
    <w:rsid w:val="00D15436"/>
    <w:rsid w:val="00D2534D"/>
    <w:rsid w:val="00D27E5B"/>
    <w:rsid w:val="00D30025"/>
    <w:rsid w:val="00D32B81"/>
    <w:rsid w:val="00D369CD"/>
    <w:rsid w:val="00D406D4"/>
    <w:rsid w:val="00D42FEB"/>
    <w:rsid w:val="00D45449"/>
    <w:rsid w:val="00D4752E"/>
    <w:rsid w:val="00D47F84"/>
    <w:rsid w:val="00D51B1E"/>
    <w:rsid w:val="00D52334"/>
    <w:rsid w:val="00D60F5D"/>
    <w:rsid w:val="00D64307"/>
    <w:rsid w:val="00D64CB1"/>
    <w:rsid w:val="00D64E04"/>
    <w:rsid w:val="00D6581B"/>
    <w:rsid w:val="00D66D6F"/>
    <w:rsid w:val="00D707EA"/>
    <w:rsid w:val="00D75E41"/>
    <w:rsid w:val="00D77ABC"/>
    <w:rsid w:val="00D8454A"/>
    <w:rsid w:val="00D86A0A"/>
    <w:rsid w:val="00DA1298"/>
    <w:rsid w:val="00DA40EA"/>
    <w:rsid w:val="00DA69EE"/>
    <w:rsid w:val="00DB7F70"/>
    <w:rsid w:val="00DD1B6F"/>
    <w:rsid w:val="00DD1ECA"/>
    <w:rsid w:val="00DD718E"/>
    <w:rsid w:val="00DE5D4B"/>
    <w:rsid w:val="00DF02AE"/>
    <w:rsid w:val="00DF0C4A"/>
    <w:rsid w:val="00E000DF"/>
    <w:rsid w:val="00E02A3E"/>
    <w:rsid w:val="00E10B50"/>
    <w:rsid w:val="00E10D9B"/>
    <w:rsid w:val="00E112A6"/>
    <w:rsid w:val="00E123E0"/>
    <w:rsid w:val="00E133FE"/>
    <w:rsid w:val="00E30245"/>
    <w:rsid w:val="00E32C39"/>
    <w:rsid w:val="00E32D70"/>
    <w:rsid w:val="00E41DE8"/>
    <w:rsid w:val="00E44CC2"/>
    <w:rsid w:val="00E47893"/>
    <w:rsid w:val="00E531AD"/>
    <w:rsid w:val="00E55FBE"/>
    <w:rsid w:val="00E5652E"/>
    <w:rsid w:val="00E600B8"/>
    <w:rsid w:val="00E73E73"/>
    <w:rsid w:val="00E77F14"/>
    <w:rsid w:val="00E8084B"/>
    <w:rsid w:val="00E81DF6"/>
    <w:rsid w:val="00E849D8"/>
    <w:rsid w:val="00E8595F"/>
    <w:rsid w:val="00E87245"/>
    <w:rsid w:val="00E93942"/>
    <w:rsid w:val="00E93C75"/>
    <w:rsid w:val="00E97E11"/>
    <w:rsid w:val="00EA08F1"/>
    <w:rsid w:val="00EA123B"/>
    <w:rsid w:val="00EA3514"/>
    <w:rsid w:val="00EA6E30"/>
    <w:rsid w:val="00EB5842"/>
    <w:rsid w:val="00EC380E"/>
    <w:rsid w:val="00ED1BFF"/>
    <w:rsid w:val="00ED2868"/>
    <w:rsid w:val="00ED6202"/>
    <w:rsid w:val="00ED6737"/>
    <w:rsid w:val="00EE30EE"/>
    <w:rsid w:val="00EE7585"/>
    <w:rsid w:val="00EF1B0F"/>
    <w:rsid w:val="00F02D52"/>
    <w:rsid w:val="00F05223"/>
    <w:rsid w:val="00F07320"/>
    <w:rsid w:val="00F1244E"/>
    <w:rsid w:val="00F13696"/>
    <w:rsid w:val="00F25485"/>
    <w:rsid w:val="00F33DE0"/>
    <w:rsid w:val="00F36E77"/>
    <w:rsid w:val="00F43CA0"/>
    <w:rsid w:val="00F43D00"/>
    <w:rsid w:val="00F476E7"/>
    <w:rsid w:val="00F501C0"/>
    <w:rsid w:val="00F5184A"/>
    <w:rsid w:val="00F57AEC"/>
    <w:rsid w:val="00F634A4"/>
    <w:rsid w:val="00F64692"/>
    <w:rsid w:val="00F706F4"/>
    <w:rsid w:val="00F716D7"/>
    <w:rsid w:val="00F8207E"/>
    <w:rsid w:val="00F8270C"/>
    <w:rsid w:val="00F844C6"/>
    <w:rsid w:val="00F876A4"/>
    <w:rsid w:val="00F9621B"/>
    <w:rsid w:val="00FA1565"/>
    <w:rsid w:val="00FA36CE"/>
    <w:rsid w:val="00FA60EE"/>
    <w:rsid w:val="00FB4265"/>
    <w:rsid w:val="00FC2AF4"/>
    <w:rsid w:val="00FC50BF"/>
    <w:rsid w:val="00FD26B5"/>
    <w:rsid w:val="00FD31ED"/>
    <w:rsid w:val="00FE1C1B"/>
    <w:rsid w:val="00FE33DF"/>
    <w:rsid w:val="00FF249D"/>
    <w:rsid w:val="00FF3020"/>
    <w:rsid w:val="00FF6028"/>
    <w:rsid w:val="0E5EB14A"/>
    <w:rsid w:val="273F58CF"/>
    <w:rsid w:val="2EFFB54B"/>
    <w:rsid w:val="35ADA87D"/>
    <w:rsid w:val="398D91AE"/>
    <w:rsid w:val="3DF3CE67"/>
    <w:rsid w:val="3DFF5115"/>
    <w:rsid w:val="3F77C36A"/>
    <w:rsid w:val="4AEB159A"/>
    <w:rsid w:val="52FF168A"/>
    <w:rsid w:val="5EFFC33D"/>
    <w:rsid w:val="5FD7D7E9"/>
    <w:rsid w:val="5FFF7883"/>
    <w:rsid w:val="6FBE73BF"/>
    <w:rsid w:val="6FFF4C38"/>
    <w:rsid w:val="7787AFAA"/>
    <w:rsid w:val="77E7F0A3"/>
    <w:rsid w:val="79BF2B59"/>
    <w:rsid w:val="79FBC7E3"/>
    <w:rsid w:val="7D6DA112"/>
    <w:rsid w:val="7FF7846E"/>
    <w:rsid w:val="7FFBD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eastAsia="仿宋_GB2312"/>
      <w:kern w:val="2"/>
      <w:sz w:val="30"/>
      <w:szCs w:val="30"/>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Date"/>
    <w:basedOn w:val="a"/>
    <w:next w:val="a"/>
    <w:qFormat/>
    <w:pPr>
      <w:ind w:leftChars="2500" w:left="10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Title"/>
    <w:basedOn w:val="1"/>
    <w:next w:val="2"/>
    <w:qFormat/>
    <w:pPr>
      <w:snapToGrid w:val="0"/>
      <w:spacing w:before="0" w:after="0" w:line="680" w:lineRule="exact"/>
      <w:jc w:val="center"/>
    </w:pPr>
    <w:rPr>
      <w:rFonts w:ascii="Arial" w:eastAsia="华文中宋" w:hAnsi="Arial" w:cs="Arial"/>
      <w:b w:val="0"/>
      <w:bCs w:val="0"/>
      <w:szCs w:val="32"/>
    </w:rPr>
  </w:style>
  <w:style w:type="paragraph" w:styleId="2">
    <w:name w:val="Body Text First Indent 2"/>
    <w:basedOn w:val="a5"/>
    <w:qFormat/>
    <w:pPr>
      <w:ind w:firstLine="420"/>
    </w:pPr>
  </w:style>
  <w:style w:type="table" w:styleId="ab">
    <w:name w:val="Table Grid"/>
    <w:basedOn w:val="a1"/>
    <w:qFormat/>
    <w:pPr>
      <w:widowControl w:val="0"/>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paragraph" w:customStyle="1" w:styleId="ad">
    <w:name w:val="市科协公文标题"/>
    <w:basedOn w:val="aa"/>
    <w:qFormat/>
    <w:pPr>
      <w:ind w:firstLineChars="0" w:firstLine="0"/>
    </w:pPr>
    <w:rPr>
      <w:rFonts w:cs="宋体"/>
      <w:szCs w:val="20"/>
    </w:rPr>
  </w:style>
  <w:style w:type="paragraph" w:customStyle="1" w:styleId="ae">
    <w:name w:val="公文副标题"/>
    <w:basedOn w:val="1"/>
    <w:next w:val="a4"/>
    <w:qFormat/>
    <w:pPr>
      <w:ind w:firstLine="676"/>
    </w:pPr>
    <w:rPr>
      <w:rFonts w:eastAsia="华文中宋"/>
      <w:sz w:val="36"/>
    </w:rPr>
  </w:style>
  <w:style w:type="paragraph" w:customStyle="1" w:styleId="20">
    <w:name w:val="样式 公文副标题 + 居中 首行缩进:  2 字符"/>
    <w:basedOn w:val="ae"/>
    <w:qFormat/>
    <w:pPr>
      <w:spacing w:line="500" w:lineRule="exact"/>
      <w:ind w:firstLineChars="0" w:firstLine="0"/>
      <w:jc w:val="center"/>
    </w:pPr>
    <w:rPr>
      <w:rFonts w:cs="宋体"/>
      <w:szCs w:val="20"/>
    </w:rPr>
  </w:style>
  <w:style w:type="paragraph" w:customStyle="1" w:styleId="af">
    <w:name w:val="市科协请示标题"/>
    <w:next w:val="ae"/>
    <w:qFormat/>
    <w:rPr>
      <w:rFonts w:ascii="华文中宋" w:eastAsia="华文中宋" w:hAnsi="华文中宋" w:cs="宋体"/>
      <w:kern w:val="44"/>
      <w:sz w:val="44"/>
    </w:rPr>
  </w:style>
  <w:style w:type="paragraph" w:customStyle="1" w:styleId="af0">
    <w:name w:val="请示正文"/>
    <w:qFormat/>
    <w:pPr>
      <w:ind w:firstLine="676"/>
    </w:pPr>
    <w:rPr>
      <w:rFonts w:ascii="仿宋_GB2312" w:eastAsia="仿宋_GB2312"/>
      <w:kern w:val="2"/>
      <w:sz w:val="30"/>
      <w:szCs w:val="3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eastAsia="仿宋_GB2312"/>
      <w:kern w:val="2"/>
      <w:sz w:val="30"/>
      <w:szCs w:val="30"/>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Date"/>
    <w:basedOn w:val="a"/>
    <w:next w:val="a"/>
    <w:qFormat/>
    <w:pPr>
      <w:ind w:leftChars="2500" w:left="10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Title"/>
    <w:basedOn w:val="1"/>
    <w:next w:val="2"/>
    <w:qFormat/>
    <w:pPr>
      <w:snapToGrid w:val="0"/>
      <w:spacing w:before="0" w:after="0" w:line="680" w:lineRule="exact"/>
      <w:jc w:val="center"/>
    </w:pPr>
    <w:rPr>
      <w:rFonts w:ascii="Arial" w:eastAsia="华文中宋" w:hAnsi="Arial" w:cs="Arial"/>
      <w:b w:val="0"/>
      <w:bCs w:val="0"/>
      <w:szCs w:val="32"/>
    </w:rPr>
  </w:style>
  <w:style w:type="paragraph" w:styleId="2">
    <w:name w:val="Body Text First Indent 2"/>
    <w:basedOn w:val="a5"/>
    <w:qFormat/>
    <w:pPr>
      <w:ind w:firstLine="420"/>
    </w:pPr>
  </w:style>
  <w:style w:type="table" w:styleId="ab">
    <w:name w:val="Table Grid"/>
    <w:basedOn w:val="a1"/>
    <w:qFormat/>
    <w:pPr>
      <w:widowControl w:val="0"/>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paragraph" w:customStyle="1" w:styleId="ad">
    <w:name w:val="市科协公文标题"/>
    <w:basedOn w:val="aa"/>
    <w:qFormat/>
    <w:pPr>
      <w:ind w:firstLineChars="0" w:firstLine="0"/>
    </w:pPr>
    <w:rPr>
      <w:rFonts w:cs="宋体"/>
      <w:szCs w:val="20"/>
    </w:rPr>
  </w:style>
  <w:style w:type="paragraph" w:customStyle="1" w:styleId="ae">
    <w:name w:val="公文副标题"/>
    <w:basedOn w:val="1"/>
    <w:next w:val="a4"/>
    <w:qFormat/>
    <w:pPr>
      <w:ind w:firstLine="676"/>
    </w:pPr>
    <w:rPr>
      <w:rFonts w:eastAsia="华文中宋"/>
      <w:sz w:val="36"/>
    </w:rPr>
  </w:style>
  <w:style w:type="paragraph" w:customStyle="1" w:styleId="20">
    <w:name w:val="样式 公文副标题 + 居中 首行缩进:  2 字符"/>
    <w:basedOn w:val="ae"/>
    <w:qFormat/>
    <w:pPr>
      <w:spacing w:line="500" w:lineRule="exact"/>
      <w:ind w:firstLineChars="0" w:firstLine="0"/>
      <w:jc w:val="center"/>
    </w:pPr>
    <w:rPr>
      <w:rFonts w:cs="宋体"/>
      <w:szCs w:val="20"/>
    </w:rPr>
  </w:style>
  <w:style w:type="paragraph" w:customStyle="1" w:styleId="af">
    <w:name w:val="市科协请示标题"/>
    <w:next w:val="ae"/>
    <w:qFormat/>
    <w:rPr>
      <w:rFonts w:ascii="华文中宋" w:eastAsia="华文中宋" w:hAnsi="华文中宋" w:cs="宋体"/>
      <w:kern w:val="44"/>
      <w:sz w:val="44"/>
    </w:rPr>
  </w:style>
  <w:style w:type="paragraph" w:customStyle="1" w:styleId="af0">
    <w:name w:val="请示正文"/>
    <w:qFormat/>
    <w:pPr>
      <w:ind w:firstLine="676"/>
    </w:pPr>
    <w:rPr>
      <w:rFonts w:ascii="仿宋_GB2312" w:eastAsia="仿宋_GB2312"/>
      <w:kern w:val="2"/>
      <w:sz w:val="30"/>
      <w:szCs w:val="3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2240</Words>
  <Characters>12771</Characters>
  <Application>Microsoft Office Word</Application>
  <DocSecurity>0</DocSecurity>
  <Lines>106</Lines>
  <Paragraphs>29</Paragraphs>
  <ScaleCrop>false</ScaleCrop>
  <Company>hy</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关于XXXXX的请示</dc:title>
  <dc:creator>沈天桔</dc:creator>
  <cp:lastModifiedBy>Microsoft</cp:lastModifiedBy>
  <cp:revision>5</cp:revision>
  <cp:lastPrinted>2012-11-07T23:00:00Z</cp:lastPrinted>
  <dcterms:created xsi:type="dcterms:W3CDTF">2023-09-20T07:57:00Z</dcterms:created>
  <dcterms:modified xsi:type="dcterms:W3CDTF">2023-09-20T08:01:00Z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