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left="190" w:firstLine="0" w:firstLineChars="0"/>
        <w:rPr>
          <w:rFonts w:ascii="黑体" w:hAnsi="黑体" w:eastAsia="黑体" w:cs="黑体"/>
          <w:spacing w:val="-4"/>
          <w:sz w:val="32"/>
          <w:szCs w:val="32"/>
        </w:rPr>
      </w:pPr>
      <w:r>
        <w:rPr>
          <w:rFonts w:hint="eastAsia" w:ascii="黑体" w:hAnsi="黑体" w:eastAsia="黑体" w:cs="黑体"/>
          <w:spacing w:val="-4"/>
          <w:sz w:val="32"/>
          <w:szCs w:val="32"/>
        </w:rPr>
        <w:t>附件</w:t>
      </w:r>
      <w:r>
        <w:rPr>
          <w:rFonts w:ascii="黑体" w:hAnsi="黑体" w:eastAsia="黑体" w:cs="黑体"/>
          <w:spacing w:val="-6"/>
          <w:sz w:val="32"/>
          <w:szCs w:val="32"/>
        </w:rPr>
        <w:t xml:space="preserve">2   </w:t>
      </w:r>
      <w:r>
        <w:rPr>
          <w:rFonts w:hint="eastAsia" w:ascii="黑体" w:hAnsi="黑体" w:eastAsia="黑体" w:cs="黑体"/>
          <w:spacing w:val="-4"/>
          <w:sz w:val="32"/>
          <w:szCs w:val="32"/>
        </w:rPr>
        <w:t xml:space="preserve">  </w:t>
      </w:r>
    </w:p>
    <w:p>
      <w:pPr>
        <w:adjustRightInd w:val="0"/>
        <w:snapToGrid w:val="0"/>
        <w:spacing w:before="294" w:beforeLines="50" w:after="294" w:afterLines="50" w:line="680" w:lineRule="exact"/>
        <w:ind w:left="190" w:firstLine="0" w:firstLineChars="0"/>
        <w:jc w:val="center"/>
        <w:rPr>
          <w:rFonts w:ascii="方正小标宋简体" w:hAnsi="方正小标宋简体" w:eastAsia="方正小标宋简体" w:cs="方正小标宋简体"/>
          <w:spacing w:val="-4"/>
          <w:w w:val="98"/>
          <w:sz w:val="44"/>
          <w:szCs w:val="44"/>
        </w:rPr>
      </w:pPr>
      <w:r>
        <w:rPr>
          <w:rFonts w:hint="eastAsia" w:ascii="方正小标宋简体" w:hAnsi="方正小标宋简体" w:eastAsia="方正小标宋简体" w:cs="方正小标宋简体"/>
          <w:w w:val="98"/>
          <w:sz w:val="44"/>
          <w:szCs w:val="44"/>
        </w:rPr>
        <w:t>2023年“青少年科创计划”学科与导师名单</w:t>
      </w:r>
    </w:p>
    <w:tbl>
      <w:tblPr>
        <w:tblStyle w:val="4"/>
        <w:tblpPr w:leftFromText="180" w:rightFromText="180" w:vertAnchor="text" w:horzAnchor="page" w:tblpXSpec="center" w:tblpY="300"/>
        <w:tblOverlap w:val="never"/>
        <w:tblW w:w="13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038"/>
        <w:gridCol w:w="1121"/>
        <w:gridCol w:w="1494"/>
        <w:gridCol w:w="1920"/>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jc w:val="center"/>
        </w:trPr>
        <w:tc>
          <w:tcPr>
            <w:tcW w:w="815" w:type="dxa"/>
            <w:vAlign w:val="center"/>
          </w:tcPr>
          <w:p>
            <w:pPr>
              <w:snapToGrid w:val="0"/>
              <w:ind w:left="190" w:firstLine="0" w:firstLineChars="0"/>
              <w:rPr>
                <w:rFonts w:ascii="黑体" w:hAnsi="黑体" w:eastAsia="黑体" w:cs="黑体"/>
                <w:sz w:val="28"/>
                <w:szCs w:val="28"/>
              </w:rPr>
            </w:pPr>
            <w:r>
              <w:rPr>
                <w:rFonts w:hint="eastAsia" w:ascii="黑体" w:hAnsi="黑体" w:eastAsia="黑体" w:cs="黑体"/>
                <w:sz w:val="28"/>
                <w:szCs w:val="28"/>
              </w:rPr>
              <w:t>序号</w:t>
            </w:r>
          </w:p>
        </w:tc>
        <w:tc>
          <w:tcPr>
            <w:tcW w:w="1038" w:type="dxa"/>
            <w:vAlign w:val="center"/>
          </w:tcPr>
          <w:p>
            <w:pPr>
              <w:adjustRightInd w:val="0"/>
              <w:snapToGrid w:val="0"/>
              <w:spacing w:line="400" w:lineRule="exact"/>
              <w:ind w:left="190" w:firstLine="0" w:firstLineChars="0"/>
              <w:jc w:val="center"/>
              <w:rPr>
                <w:rFonts w:ascii="黑体" w:hAnsi="黑体" w:eastAsia="黑体" w:cs="黑体"/>
                <w:sz w:val="28"/>
                <w:szCs w:val="28"/>
              </w:rPr>
            </w:pPr>
            <w:r>
              <w:rPr>
                <w:rFonts w:hint="eastAsia" w:ascii="黑体" w:hAnsi="黑体" w:eastAsia="黑体" w:cs="黑体"/>
                <w:sz w:val="28"/>
                <w:szCs w:val="28"/>
              </w:rPr>
              <w:t>学校</w:t>
            </w:r>
          </w:p>
        </w:tc>
        <w:tc>
          <w:tcPr>
            <w:tcW w:w="1121" w:type="dxa"/>
            <w:vAlign w:val="center"/>
          </w:tcPr>
          <w:p>
            <w:pPr>
              <w:adjustRightInd w:val="0"/>
              <w:snapToGrid w:val="0"/>
              <w:spacing w:line="400" w:lineRule="exact"/>
              <w:ind w:left="190" w:firstLine="0" w:firstLineChars="0"/>
              <w:jc w:val="center"/>
              <w:rPr>
                <w:rFonts w:ascii="黑体" w:hAnsi="黑体" w:eastAsia="黑体" w:cs="黑体"/>
                <w:sz w:val="28"/>
                <w:szCs w:val="28"/>
              </w:rPr>
            </w:pPr>
            <w:r>
              <w:rPr>
                <w:rFonts w:hint="eastAsia" w:ascii="黑体" w:hAnsi="黑体" w:eastAsia="黑体" w:cs="黑体"/>
                <w:sz w:val="28"/>
                <w:szCs w:val="28"/>
              </w:rPr>
              <w:t>学科</w:t>
            </w:r>
          </w:p>
        </w:tc>
        <w:tc>
          <w:tcPr>
            <w:tcW w:w="1494" w:type="dxa"/>
            <w:vAlign w:val="center"/>
          </w:tcPr>
          <w:p>
            <w:pPr>
              <w:adjustRightInd w:val="0"/>
              <w:snapToGrid w:val="0"/>
              <w:spacing w:line="400" w:lineRule="exact"/>
              <w:ind w:left="190" w:firstLine="0" w:firstLineChars="0"/>
              <w:jc w:val="center"/>
              <w:rPr>
                <w:rFonts w:ascii="黑体" w:hAnsi="黑体" w:eastAsia="黑体" w:cs="黑体"/>
                <w:sz w:val="28"/>
                <w:szCs w:val="28"/>
              </w:rPr>
            </w:pPr>
            <w:r>
              <w:rPr>
                <w:rFonts w:hint="eastAsia" w:ascii="黑体" w:hAnsi="黑体" w:eastAsia="黑体" w:cs="黑体"/>
                <w:sz w:val="28"/>
                <w:szCs w:val="28"/>
              </w:rPr>
              <w:t>导师姓名</w:t>
            </w:r>
          </w:p>
        </w:tc>
        <w:tc>
          <w:tcPr>
            <w:tcW w:w="1920" w:type="dxa"/>
            <w:vAlign w:val="center"/>
          </w:tcPr>
          <w:p>
            <w:pPr>
              <w:adjustRightInd w:val="0"/>
              <w:snapToGrid w:val="0"/>
              <w:spacing w:line="400" w:lineRule="exact"/>
              <w:ind w:firstLine="0" w:firstLineChars="0"/>
              <w:jc w:val="center"/>
              <w:rPr>
                <w:rFonts w:ascii="黑体" w:hAnsi="黑体" w:eastAsia="黑体" w:cs="黑体"/>
                <w:sz w:val="28"/>
                <w:szCs w:val="28"/>
              </w:rPr>
            </w:pPr>
            <w:r>
              <w:rPr>
                <w:rFonts w:hint="eastAsia" w:ascii="黑体" w:hAnsi="黑体" w:eastAsia="黑体" w:cs="黑体"/>
                <w:sz w:val="28"/>
                <w:szCs w:val="28"/>
              </w:rPr>
              <w:t>职称及称号</w:t>
            </w:r>
          </w:p>
        </w:tc>
        <w:tc>
          <w:tcPr>
            <w:tcW w:w="7587" w:type="dxa"/>
            <w:vAlign w:val="center"/>
          </w:tcPr>
          <w:p>
            <w:pPr>
              <w:adjustRightInd w:val="0"/>
              <w:snapToGrid w:val="0"/>
              <w:spacing w:line="400" w:lineRule="exact"/>
              <w:ind w:firstLine="0" w:firstLineChars="0"/>
              <w:jc w:val="center"/>
              <w:rPr>
                <w:rFonts w:ascii="黑体" w:hAnsi="黑体" w:eastAsia="黑体" w:cs="黑体"/>
                <w:sz w:val="28"/>
                <w:szCs w:val="28"/>
              </w:rPr>
            </w:pPr>
            <w:r>
              <w:rPr>
                <w:rFonts w:hint="eastAsia" w:ascii="黑体" w:hAnsi="黑体" w:eastAsia="黑体" w:cs="黑体"/>
                <w:sz w:val="28"/>
                <w:szCs w:val="28"/>
              </w:rPr>
              <w:t>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1</w:t>
            </w:r>
          </w:p>
        </w:tc>
        <w:tc>
          <w:tcPr>
            <w:tcW w:w="1038" w:type="dxa"/>
            <w:vMerge w:val="restart"/>
            <w:vAlign w:val="center"/>
          </w:tcPr>
          <w:p>
            <w:pPr>
              <w:adjustRightInd w:val="0"/>
              <w:snapToGrid w:val="0"/>
              <w:ind w:firstLine="0" w:firstLineChars="0"/>
              <w:jc w:val="center"/>
              <w:rPr>
                <w:rFonts w:cs="仿宋_GB2312"/>
                <w:color w:val="000000"/>
                <w:sz w:val="28"/>
                <w:szCs w:val="28"/>
              </w:rPr>
            </w:pPr>
            <w:r>
              <w:rPr>
                <w:rFonts w:hint="eastAsia" w:cs="仿宋_GB2312"/>
                <w:color w:val="000000"/>
                <w:sz w:val="28"/>
                <w:szCs w:val="28"/>
              </w:rPr>
              <w:t>南开大学</w:t>
            </w:r>
          </w:p>
        </w:tc>
        <w:tc>
          <w:tcPr>
            <w:tcW w:w="1121" w:type="dxa"/>
            <w:vAlign w:val="center"/>
          </w:tcPr>
          <w:p>
            <w:pPr>
              <w:adjustRightInd w:val="0"/>
              <w:snapToGrid w:val="0"/>
              <w:ind w:firstLine="0" w:firstLineChars="0"/>
              <w:jc w:val="center"/>
              <w:rPr>
                <w:rFonts w:cs="仿宋_GB2312"/>
                <w:color w:val="000000"/>
                <w:sz w:val="28"/>
                <w:szCs w:val="28"/>
              </w:rPr>
            </w:pPr>
            <w:r>
              <w:rPr>
                <w:rFonts w:hint="eastAsia" w:cs="仿宋_GB2312"/>
                <w:color w:val="000000"/>
                <w:sz w:val="28"/>
                <w:szCs w:val="28"/>
              </w:rPr>
              <w:t>历史学</w:t>
            </w:r>
          </w:p>
        </w:tc>
        <w:tc>
          <w:tcPr>
            <w:tcW w:w="1494" w:type="dxa"/>
            <w:vAlign w:val="center"/>
          </w:tcPr>
          <w:p>
            <w:pPr>
              <w:adjustRightInd w:val="0"/>
              <w:snapToGrid w:val="0"/>
              <w:ind w:firstLine="0" w:firstLineChars="0"/>
              <w:jc w:val="center"/>
              <w:rPr>
                <w:rFonts w:cs="仿宋_GB2312"/>
                <w:color w:val="000000"/>
                <w:sz w:val="28"/>
                <w:szCs w:val="28"/>
              </w:rPr>
            </w:pPr>
            <w:r>
              <w:rPr>
                <w:rFonts w:hint="eastAsia" w:cs="仿宋_GB2312"/>
                <w:color w:val="000000"/>
                <w:sz w:val="28"/>
                <w:szCs w:val="28"/>
              </w:rPr>
              <w:t>刘晓</w:t>
            </w:r>
          </w:p>
        </w:tc>
        <w:tc>
          <w:tcPr>
            <w:tcW w:w="1920" w:type="dxa"/>
            <w:vAlign w:val="center"/>
          </w:tcPr>
          <w:p>
            <w:pPr>
              <w:adjustRightInd w:val="0"/>
              <w:snapToGrid w:val="0"/>
              <w:ind w:left="190" w:firstLine="0" w:firstLineChars="0"/>
              <w:rPr>
                <w:rFonts w:cs="仿宋_GB2312"/>
                <w:color w:val="000000"/>
                <w:sz w:val="28"/>
                <w:szCs w:val="28"/>
              </w:rPr>
            </w:pPr>
            <w:r>
              <w:rPr>
                <w:rFonts w:hint="eastAsia" w:cs="仿宋_GB2312"/>
                <w:color w:val="000000"/>
                <w:sz w:val="28"/>
                <w:szCs w:val="28"/>
              </w:rPr>
              <w:t>教授，国家“百千万人才工程”入选者、英才教授</w:t>
            </w:r>
          </w:p>
        </w:tc>
        <w:tc>
          <w:tcPr>
            <w:tcW w:w="7587" w:type="dxa"/>
            <w:vAlign w:val="center"/>
          </w:tcPr>
          <w:p>
            <w:pPr>
              <w:adjustRightInd w:val="0"/>
              <w:snapToGrid w:val="0"/>
              <w:ind w:firstLine="0" w:firstLineChars="0"/>
              <w:rPr>
                <w:rFonts w:cs="仿宋_GB2312"/>
                <w:color w:val="000000"/>
                <w:sz w:val="28"/>
                <w:szCs w:val="28"/>
              </w:rPr>
            </w:pPr>
            <w:r>
              <w:rPr>
                <w:rFonts w:hint="eastAsia" w:cs="仿宋_GB2312"/>
                <w:color w:val="000000"/>
                <w:sz w:val="28"/>
                <w:szCs w:val="28"/>
              </w:rPr>
              <w:t>主要从事元史的研究。入选“国家百千万人才工程”、“有突出贡献中青年专家”，享受政府特殊津贴。担任中国元史研究会会长、《中国史研究》与《军事历史研究》编委。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exac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2</w:t>
            </w:r>
          </w:p>
        </w:tc>
        <w:tc>
          <w:tcPr>
            <w:tcW w:w="1038" w:type="dxa"/>
            <w:vMerge w:val="continue"/>
            <w:vAlign w:val="center"/>
          </w:tcPr>
          <w:p>
            <w:pPr>
              <w:adjustRightInd w:val="0"/>
              <w:snapToGrid w:val="0"/>
              <w:ind w:firstLine="588"/>
              <w:jc w:val="center"/>
              <w:rPr>
                <w:rFonts w:cs="仿宋_GB2312"/>
                <w:color w:val="000000"/>
                <w:sz w:val="28"/>
                <w:szCs w:val="28"/>
              </w:rPr>
            </w:pPr>
          </w:p>
        </w:tc>
        <w:tc>
          <w:tcPr>
            <w:tcW w:w="1121"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经济学</w:t>
            </w:r>
          </w:p>
        </w:tc>
        <w:tc>
          <w:tcPr>
            <w:tcW w:w="1494"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王永进</w:t>
            </w:r>
          </w:p>
        </w:tc>
        <w:tc>
          <w:tcPr>
            <w:tcW w:w="1920" w:type="dxa"/>
            <w:vAlign w:val="center"/>
          </w:tcPr>
          <w:p>
            <w:pPr>
              <w:adjustRightInd w:val="0"/>
              <w:snapToGrid w:val="0"/>
              <w:ind w:left="190"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教授，教育部“长江学者奖励计划”青年学者、天津市131创新型人才工程第一层次人选</w:t>
            </w:r>
          </w:p>
        </w:tc>
        <w:tc>
          <w:tcPr>
            <w:tcW w:w="7587" w:type="dxa"/>
            <w:vAlign w:val="center"/>
          </w:tcPr>
          <w:p>
            <w:pPr>
              <w:adjustRightInd w:val="0"/>
              <w:snapToGrid w:val="0"/>
              <w:ind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主要从事数字经济与国际贸易的研究。国家社科基金重大项目首席专家，出版专著《契约、关系与国际贸易》，《数字经济学》等。南开大学百名青年学科带头人，中国世界经济学会理事。主持和参与多项国家社科基金、国家自然科学和教育部课题。曾荣获南开大学科学研究青年创新奖、南开大学五四青年奖章、南开大学“良师益友”奖，入选天津市青年拔尖人才特殊支持计划，并担任天津市政府特聘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exac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3</w:t>
            </w:r>
          </w:p>
        </w:tc>
        <w:tc>
          <w:tcPr>
            <w:tcW w:w="1038" w:type="dxa"/>
            <w:vMerge w:val="continue"/>
            <w:vAlign w:val="center"/>
          </w:tcPr>
          <w:p>
            <w:pPr>
              <w:adjustRightInd w:val="0"/>
              <w:snapToGrid w:val="0"/>
              <w:ind w:firstLine="588"/>
              <w:jc w:val="center"/>
              <w:rPr>
                <w:rFonts w:ascii="仿宋_GB2312" w:hAnsi="仿宋_GB2312" w:cs="仿宋_GB2312"/>
                <w:color w:val="000000"/>
                <w:sz w:val="28"/>
                <w:szCs w:val="28"/>
              </w:rPr>
            </w:pPr>
          </w:p>
        </w:tc>
        <w:tc>
          <w:tcPr>
            <w:tcW w:w="1121"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经济学</w:t>
            </w:r>
          </w:p>
        </w:tc>
        <w:tc>
          <w:tcPr>
            <w:tcW w:w="1494"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段文斌</w:t>
            </w:r>
          </w:p>
        </w:tc>
        <w:tc>
          <w:tcPr>
            <w:tcW w:w="1920" w:type="dxa"/>
            <w:vAlign w:val="center"/>
          </w:tcPr>
          <w:p>
            <w:pPr>
              <w:adjustRightInd w:val="0"/>
              <w:snapToGrid w:val="0"/>
              <w:ind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教授，教育部重大课题攻关项目首席专家、国家社会科学基金重大项目首席专家天津市教学名师、天津市“131”创新团队首席专家、天津市“131”创新型人才第一层次人选</w:t>
            </w:r>
          </w:p>
        </w:tc>
        <w:tc>
          <w:tcPr>
            <w:tcW w:w="7587" w:type="dxa"/>
            <w:vAlign w:val="center"/>
          </w:tcPr>
          <w:p>
            <w:pPr>
              <w:adjustRightInd w:val="0"/>
              <w:snapToGrid w:val="0"/>
              <w:ind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主要从事企业和产业经济、中国经济转型与发展的研究。主持项目研究20余项（省部级以上项目10项），出版著作10余部，发表论文50余篇。曾获获蒋一苇学术基金首届优秀著作奖、第三届中国高校人文社会科学研究优秀成果（著作）二等奖、天津市第七届社会科学优秀成果（著作）一等奖、天津市教学名师，宝钢教育基金会优秀教师奖，天津市优秀教学成果二等奖等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4</w:t>
            </w:r>
          </w:p>
        </w:tc>
        <w:tc>
          <w:tcPr>
            <w:tcW w:w="1038" w:type="dxa"/>
            <w:vMerge w:val="restart"/>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天津大学</w:t>
            </w:r>
          </w:p>
        </w:tc>
        <w:tc>
          <w:tcPr>
            <w:tcW w:w="1121" w:type="dxa"/>
            <w:vAlign w:val="center"/>
          </w:tcPr>
          <w:p>
            <w:pPr>
              <w:adjustRightInd w:val="0"/>
              <w:snapToGrid w:val="0"/>
              <w:spacing w:line="400" w:lineRule="exact"/>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化学</w:t>
            </w:r>
          </w:p>
        </w:tc>
        <w:tc>
          <w:tcPr>
            <w:tcW w:w="1494" w:type="dxa"/>
            <w:vAlign w:val="center"/>
          </w:tcPr>
          <w:p>
            <w:pPr>
              <w:adjustRightInd w:val="0"/>
              <w:snapToGrid w:val="0"/>
              <w:spacing w:line="400" w:lineRule="exact"/>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马军安</w:t>
            </w:r>
          </w:p>
        </w:tc>
        <w:tc>
          <w:tcPr>
            <w:tcW w:w="1920" w:type="dxa"/>
            <w:vAlign w:val="center"/>
          </w:tcPr>
          <w:p>
            <w:pPr>
              <w:adjustRightInd w:val="0"/>
              <w:snapToGrid w:val="0"/>
              <w:spacing w:line="400" w:lineRule="exact"/>
              <w:ind w:left="190"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教授，国家“杰青”</w:t>
            </w:r>
          </w:p>
        </w:tc>
        <w:tc>
          <w:tcPr>
            <w:tcW w:w="7587" w:type="dxa"/>
            <w:vAlign w:val="center"/>
          </w:tcPr>
          <w:p>
            <w:pPr>
              <w:adjustRightInd w:val="0"/>
              <w:snapToGrid w:val="0"/>
              <w:spacing w:line="400" w:lineRule="exact"/>
              <w:ind w:left="190" w:firstLine="0" w:firstLineChars="0"/>
              <w:jc w:val="left"/>
              <w:rPr>
                <w:rFonts w:ascii="仿宋_GB2312" w:hAnsi="仿宋_GB2312" w:cs="仿宋_GB2312"/>
                <w:color w:val="000000"/>
                <w:sz w:val="28"/>
                <w:szCs w:val="28"/>
              </w:rPr>
            </w:pPr>
            <w:r>
              <w:rPr>
                <w:rFonts w:hint="eastAsia" w:ascii="仿宋_GB2312" w:hAnsi="仿宋_GB2312" w:cs="仿宋_GB2312"/>
                <w:color w:val="000000"/>
                <w:sz w:val="28"/>
                <w:szCs w:val="28"/>
              </w:rPr>
              <w:t>从事手性化合物不对称合成研究、有机氟化学工程化的研究。主要讲授《精细有机合成》、《高等有机合成》等课程。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exact"/>
          <w:jc w:val="center"/>
        </w:trPr>
        <w:tc>
          <w:tcPr>
            <w:tcW w:w="815" w:type="dxa"/>
            <w:vAlign w:val="center"/>
          </w:tcPr>
          <w:p>
            <w:pPr>
              <w:adjustRightInd w:val="0"/>
              <w:snapToGrid w:val="0"/>
              <w:ind w:left="190"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5</w:t>
            </w:r>
          </w:p>
        </w:tc>
        <w:tc>
          <w:tcPr>
            <w:tcW w:w="1038" w:type="dxa"/>
            <w:vMerge w:val="continue"/>
            <w:vAlign w:val="center"/>
          </w:tcPr>
          <w:p>
            <w:pPr>
              <w:adjustRightInd w:val="0"/>
              <w:snapToGrid w:val="0"/>
              <w:ind w:firstLine="588"/>
              <w:jc w:val="center"/>
              <w:rPr>
                <w:rFonts w:ascii="仿宋_GB2312" w:hAnsi="仿宋_GB2312" w:cs="仿宋_GB2312"/>
                <w:color w:val="000000"/>
                <w:sz w:val="28"/>
                <w:szCs w:val="28"/>
              </w:rPr>
            </w:pPr>
          </w:p>
        </w:tc>
        <w:tc>
          <w:tcPr>
            <w:tcW w:w="1121" w:type="dxa"/>
            <w:vAlign w:val="center"/>
          </w:tcPr>
          <w:p>
            <w:pPr>
              <w:adjustRightInd w:val="0"/>
              <w:snapToGrid w:val="0"/>
              <w:spacing w:line="400" w:lineRule="exact"/>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化学</w:t>
            </w:r>
          </w:p>
        </w:tc>
        <w:tc>
          <w:tcPr>
            <w:tcW w:w="1494" w:type="dxa"/>
            <w:vAlign w:val="center"/>
          </w:tcPr>
          <w:p>
            <w:pPr>
              <w:adjustRightInd w:val="0"/>
              <w:snapToGrid w:val="0"/>
              <w:spacing w:line="400" w:lineRule="exact"/>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李立强</w:t>
            </w:r>
          </w:p>
        </w:tc>
        <w:tc>
          <w:tcPr>
            <w:tcW w:w="1920" w:type="dxa"/>
            <w:vAlign w:val="center"/>
          </w:tcPr>
          <w:p>
            <w:pPr>
              <w:adjustRightInd w:val="0"/>
              <w:snapToGrid w:val="0"/>
              <w:spacing w:line="400" w:lineRule="exact"/>
              <w:ind w:left="190"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教授，国家“杰青</w:t>
            </w:r>
          </w:p>
        </w:tc>
        <w:tc>
          <w:tcPr>
            <w:tcW w:w="7587" w:type="dxa"/>
            <w:vAlign w:val="center"/>
          </w:tcPr>
          <w:p>
            <w:pPr>
              <w:adjustRightInd w:val="0"/>
              <w:snapToGrid w:val="0"/>
              <w:spacing w:line="400" w:lineRule="exact"/>
              <w:ind w:firstLine="0" w:firstLineChars="0"/>
              <w:jc w:val="left"/>
              <w:rPr>
                <w:rFonts w:ascii="仿宋_GB2312" w:hAnsi="仿宋_GB2312" w:cs="仿宋_GB2312"/>
                <w:color w:val="000000"/>
                <w:sz w:val="28"/>
                <w:szCs w:val="28"/>
              </w:rPr>
            </w:pPr>
            <w:r>
              <w:rPr>
                <w:rFonts w:hint="eastAsia" w:ascii="仿宋_GB2312" w:hAnsi="仿宋_GB2312" w:cs="仿宋_GB2312"/>
                <w:color w:val="000000"/>
                <w:sz w:val="28"/>
                <w:szCs w:val="28"/>
              </w:rPr>
              <w:t>主要从事分子材料与光电功能器件的研究工作；具体方向包括：有机半导体分子材料的设计合成与光电功能器件的构筑、有机半导体分子材料的可控掺杂与应用、基于分子材料的新型光、力、热传感器件、二维分子材料的生长与器件构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5" w:hRule="exac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6</w:t>
            </w:r>
          </w:p>
        </w:tc>
        <w:tc>
          <w:tcPr>
            <w:tcW w:w="1038" w:type="dxa"/>
            <w:vMerge w:val="continue"/>
            <w:vAlign w:val="center"/>
          </w:tcPr>
          <w:p>
            <w:pPr>
              <w:adjustRightInd w:val="0"/>
              <w:snapToGrid w:val="0"/>
              <w:ind w:firstLine="588"/>
              <w:jc w:val="center"/>
              <w:rPr>
                <w:rFonts w:ascii="仿宋_GB2312" w:hAnsi="仿宋_GB2312" w:cs="仿宋_GB2312"/>
                <w:color w:val="000000"/>
                <w:sz w:val="28"/>
                <w:szCs w:val="28"/>
              </w:rPr>
            </w:pPr>
          </w:p>
        </w:tc>
        <w:tc>
          <w:tcPr>
            <w:tcW w:w="1121" w:type="dxa"/>
            <w:vAlign w:val="center"/>
          </w:tcPr>
          <w:p>
            <w:pPr>
              <w:adjustRightInd w:val="0"/>
              <w:snapToGrid w:val="0"/>
              <w:spacing w:line="400" w:lineRule="exact"/>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力学</w:t>
            </w:r>
          </w:p>
        </w:tc>
        <w:tc>
          <w:tcPr>
            <w:tcW w:w="1494" w:type="dxa"/>
            <w:vAlign w:val="center"/>
          </w:tcPr>
          <w:p>
            <w:pPr>
              <w:adjustRightInd w:val="0"/>
              <w:snapToGrid w:val="0"/>
              <w:spacing w:line="400" w:lineRule="exact"/>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王艳锋</w:t>
            </w:r>
          </w:p>
        </w:tc>
        <w:tc>
          <w:tcPr>
            <w:tcW w:w="1920" w:type="dxa"/>
            <w:vAlign w:val="center"/>
          </w:tcPr>
          <w:p>
            <w:pPr>
              <w:adjustRightInd w:val="0"/>
              <w:snapToGrid w:val="0"/>
              <w:spacing w:line="400" w:lineRule="exact"/>
              <w:ind w:left="190"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教授，国家“优青”</w:t>
            </w:r>
          </w:p>
        </w:tc>
        <w:tc>
          <w:tcPr>
            <w:tcW w:w="7587" w:type="dxa"/>
            <w:vAlign w:val="center"/>
          </w:tcPr>
          <w:p>
            <w:pPr>
              <w:adjustRightInd w:val="0"/>
              <w:snapToGrid w:val="0"/>
              <w:spacing w:line="400" w:lineRule="exact"/>
              <w:ind w:firstLine="0" w:firstLineChars="0"/>
              <w:jc w:val="left"/>
              <w:rPr>
                <w:rFonts w:ascii="仿宋_GB2312" w:hAnsi="仿宋_GB2312" w:cs="仿宋_GB2312"/>
                <w:color w:val="000000"/>
                <w:sz w:val="28"/>
                <w:szCs w:val="28"/>
              </w:rPr>
            </w:pPr>
            <w:r>
              <w:rPr>
                <w:rFonts w:hint="eastAsia" w:ascii="仿宋_GB2312" w:hAnsi="仿宋_GB2312" w:cs="仿宋_GB2312"/>
                <w:color w:val="000000"/>
                <w:sz w:val="28"/>
                <w:szCs w:val="28"/>
              </w:rPr>
              <w:t>主要从事超构材料波动力学与控制研究，先后主持国家自然科学基金优青项目、国家重点研发计划课题等6项，主要参与国家自然科学基金重大项目、重点项目等2项。发表SCI论文60余篇，包括1篇ESI热点论文。曾入选中国科协青年人才托举工程、2022全球前2％顶尖科学家“年度影响力”榜单。任Frontiers in Materials、Crystals、Smart Materials and Structures客座编辑，《应用力学学报》、《动力学与控制学报》、《应用数学和力学》青年编委。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7</w:t>
            </w:r>
          </w:p>
        </w:tc>
        <w:tc>
          <w:tcPr>
            <w:tcW w:w="1038" w:type="dxa"/>
            <w:vMerge w:val="continue"/>
            <w:vAlign w:val="center"/>
          </w:tcPr>
          <w:p>
            <w:pPr>
              <w:adjustRightInd w:val="0"/>
              <w:snapToGrid w:val="0"/>
              <w:ind w:firstLine="588"/>
              <w:jc w:val="center"/>
              <w:rPr>
                <w:rFonts w:ascii="仿宋_GB2312" w:hAnsi="仿宋_GB2312" w:cs="仿宋_GB2312"/>
                <w:color w:val="000000"/>
                <w:sz w:val="28"/>
                <w:szCs w:val="28"/>
              </w:rPr>
            </w:pPr>
          </w:p>
        </w:tc>
        <w:tc>
          <w:tcPr>
            <w:tcW w:w="1121" w:type="dxa"/>
            <w:vAlign w:val="center"/>
          </w:tcPr>
          <w:p>
            <w:pPr>
              <w:adjustRightInd w:val="0"/>
              <w:snapToGrid w:val="0"/>
              <w:spacing w:line="400" w:lineRule="exact"/>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力学</w:t>
            </w:r>
          </w:p>
        </w:tc>
        <w:tc>
          <w:tcPr>
            <w:tcW w:w="1494" w:type="dxa"/>
            <w:vAlign w:val="center"/>
          </w:tcPr>
          <w:p>
            <w:pPr>
              <w:adjustRightInd w:val="0"/>
              <w:snapToGrid w:val="0"/>
              <w:spacing w:line="400" w:lineRule="exact"/>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姜楠</w:t>
            </w:r>
          </w:p>
        </w:tc>
        <w:tc>
          <w:tcPr>
            <w:tcW w:w="1920" w:type="dxa"/>
            <w:vAlign w:val="center"/>
          </w:tcPr>
          <w:p>
            <w:pPr>
              <w:adjustRightInd w:val="0"/>
              <w:snapToGrid w:val="0"/>
              <w:spacing w:line="400" w:lineRule="exact"/>
              <w:ind w:left="190"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教授，教育部高等学校新世纪优秀人才</w:t>
            </w:r>
          </w:p>
        </w:tc>
        <w:tc>
          <w:tcPr>
            <w:tcW w:w="7587" w:type="dxa"/>
            <w:vAlign w:val="center"/>
          </w:tcPr>
          <w:p>
            <w:pPr>
              <w:adjustRightInd w:val="0"/>
              <w:snapToGrid w:val="0"/>
              <w:spacing w:line="400" w:lineRule="exact"/>
              <w:ind w:firstLine="0" w:firstLineChars="0"/>
              <w:rPr>
                <w:rFonts w:ascii="仿宋_GB2312" w:hAnsi="仿宋_GB2312" w:cs="仿宋_GB2312"/>
                <w:color w:val="000000"/>
                <w:sz w:val="28"/>
                <w:szCs w:val="28"/>
              </w:rPr>
            </w:pPr>
            <w:r>
              <w:rPr>
                <w:rFonts w:hint="eastAsia" w:ascii="仿宋_GB2312" w:hAnsi="仿宋_GB2312" w:cs="仿宋_GB2312"/>
                <w:color w:val="000000"/>
                <w:spacing w:val="-6"/>
                <w:sz w:val="28"/>
                <w:szCs w:val="28"/>
              </w:rPr>
              <w:t>主要从事流体力学方面湍流与实验流体力学的科研与教学工作。作为项目负责人主持国家自然科学基金重点项目</w:t>
            </w:r>
            <w:r>
              <w:rPr>
                <w:rFonts w:ascii="仿宋_GB2312" w:hAnsi="仿宋_GB2312" w:cs="仿宋_GB2312"/>
                <w:color w:val="000000"/>
                <w:spacing w:val="-6"/>
                <w:sz w:val="28"/>
                <w:szCs w:val="28"/>
              </w:rPr>
              <w:t>2项，国家自然科学基金面上项目6项。在教学方面，先后主讲《实验流体力学》、《湍流理论》等20余门课程。曾获天津市自然科学一等奖、天津市技术发明二等奖、天津市科技进步二等奖、天津市第七届高等教育优秀教学成果一等奖、全国研究生教育成果二等奖等奖项。相关课程入选教育部精品视频公开课、天津市线上一流课程，荣获教育部在线教育研究中心先锋教师称号</w:t>
            </w:r>
            <w:r>
              <w:rPr>
                <w:rFonts w:hint="eastAsia" w:ascii="仿宋_GB2312" w:hAnsi="仿宋_GB2312" w:cs="仿宋_GB2312"/>
                <w:color w:val="000000"/>
                <w:spacing w:val="-6"/>
                <w:sz w:val="28"/>
                <w:szCs w:val="28"/>
              </w:rPr>
              <w:t>。兼任中国力学学会理事、科普工作委员会主任，力学史与方法论专业委员会委员；中国空气动力学会流动显示专业委员会副主任，科普工作委员会顾问；《实验流体力学》、《力学与实践》副主编、《力学学报》、《气体物理》、《水动力学研究与进展》期刊编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8</w:t>
            </w:r>
          </w:p>
        </w:tc>
        <w:tc>
          <w:tcPr>
            <w:tcW w:w="1038" w:type="dxa"/>
            <w:vMerge w:val="continue"/>
            <w:vAlign w:val="center"/>
          </w:tcPr>
          <w:p>
            <w:pPr>
              <w:adjustRightInd w:val="0"/>
              <w:snapToGrid w:val="0"/>
              <w:ind w:firstLine="588"/>
              <w:jc w:val="center"/>
              <w:rPr>
                <w:rFonts w:ascii="仿宋_GB2312" w:hAnsi="仿宋_GB2312" w:cs="仿宋_GB2312"/>
                <w:color w:val="000000"/>
                <w:sz w:val="28"/>
                <w:szCs w:val="28"/>
              </w:rPr>
            </w:pPr>
          </w:p>
        </w:tc>
        <w:tc>
          <w:tcPr>
            <w:tcW w:w="1121" w:type="dxa"/>
            <w:vAlign w:val="center"/>
          </w:tcPr>
          <w:p>
            <w:pPr>
              <w:adjustRightInd w:val="0"/>
              <w:snapToGrid w:val="0"/>
              <w:spacing w:line="400" w:lineRule="exact"/>
              <w:ind w:firstLine="0" w:firstLineChars="0"/>
              <w:rPr>
                <w:rFonts w:ascii="仿宋_GB2312" w:hAnsi="仿宋_GB2312" w:cs="仿宋_GB2312"/>
                <w:color w:val="000000"/>
                <w:sz w:val="28"/>
                <w:szCs w:val="28"/>
                <w:lang w:eastAsia="zh-Hans"/>
              </w:rPr>
            </w:pPr>
            <w:r>
              <w:rPr>
                <w:rFonts w:hint="eastAsia" w:ascii="仿宋_GB2312" w:hAnsi="仿宋_GB2312" w:cs="仿宋_GB2312"/>
                <w:color w:val="000000"/>
                <w:sz w:val="28"/>
                <w:szCs w:val="28"/>
                <w:lang w:eastAsia="zh-Hans"/>
              </w:rPr>
              <w:t>计算机科学</w:t>
            </w:r>
          </w:p>
        </w:tc>
        <w:tc>
          <w:tcPr>
            <w:tcW w:w="1494" w:type="dxa"/>
            <w:vAlign w:val="center"/>
          </w:tcPr>
          <w:p>
            <w:pPr>
              <w:adjustRightInd w:val="0"/>
              <w:snapToGrid w:val="0"/>
              <w:spacing w:line="400" w:lineRule="exact"/>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lang w:eastAsia="zh-Hans"/>
              </w:rPr>
              <w:t>王晓飞</w:t>
            </w:r>
          </w:p>
        </w:tc>
        <w:tc>
          <w:tcPr>
            <w:tcW w:w="1920" w:type="dxa"/>
            <w:vAlign w:val="center"/>
          </w:tcPr>
          <w:p>
            <w:pPr>
              <w:adjustRightInd w:val="0"/>
              <w:snapToGrid w:val="0"/>
              <w:spacing w:line="400" w:lineRule="exact"/>
              <w:ind w:left="190"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长聘</w:t>
            </w:r>
            <w:r>
              <w:rPr>
                <w:rFonts w:hint="eastAsia" w:ascii="仿宋_GB2312" w:hAnsi="仿宋_GB2312" w:cs="仿宋_GB2312"/>
                <w:color w:val="000000"/>
                <w:sz w:val="28"/>
                <w:szCs w:val="28"/>
                <w:lang w:eastAsia="zh-Hans"/>
              </w:rPr>
              <w:t>正</w:t>
            </w:r>
            <w:r>
              <w:rPr>
                <w:rFonts w:hint="eastAsia" w:ascii="仿宋_GB2312" w:hAnsi="仿宋_GB2312" w:cs="仿宋_GB2312"/>
                <w:color w:val="000000"/>
                <w:sz w:val="28"/>
                <w:szCs w:val="28"/>
              </w:rPr>
              <w:t>教授，</w:t>
            </w:r>
            <w:r>
              <w:rPr>
                <w:rFonts w:hint="eastAsia" w:ascii="仿宋_GB2312" w:hAnsi="仿宋_GB2312" w:cs="仿宋_GB2312"/>
                <w:color w:val="000000"/>
                <w:sz w:val="28"/>
                <w:szCs w:val="28"/>
                <w:lang w:eastAsia="zh-Hans"/>
              </w:rPr>
              <w:t>国家海外高层次人才引进计划（青年）</w:t>
            </w:r>
          </w:p>
        </w:tc>
        <w:tc>
          <w:tcPr>
            <w:tcW w:w="7587" w:type="dxa"/>
            <w:vAlign w:val="center"/>
          </w:tcPr>
          <w:p>
            <w:pPr>
              <w:adjustRightInd w:val="0"/>
              <w:snapToGrid w:val="0"/>
              <w:spacing w:line="400" w:lineRule="exact"/>
              <w:ind w:firstLine="0" w:firstLineChars="0"/>
              <w:jc w:val="left"/>
              <w:rPr>
                <w:rFonts w:ascii="仿宋_GB2312" w:hAnsi="仿宋_GB2312" w:cs="仿宋_GB2312"/>
                <w:color w:val="000000"/>
                <w:sz w:val="28"/>
                <w:szCs w:val="28"/>
              </w:rPr>
            </w:pPr>
            <w:r>
              <w:rPr>
                <w:rFonts w:hint="eastAsia" w:ascii="仿宋_GB2312" w:hAnsi="仿宋_GB2312" w:cs="仿宋_GB2312"/>
                <w:color w:val="000000"/>
                <w:sz w:val="28"/>
                <w:szCs w:val="28"/>
              </w:rPr>
              <w:t>主要从事边缘智能理论、边缘计算系统架构、云边协同算法等的研究，发表高水平科研论文180余篇</w:t>
            </w:r>
            <w:r>
              <w:rPr>
                <w:rFonts w:hint="eastAsia" w:ascii="仿宋_GB2312" w:hAnsi="仿宋_GB2312" w:cs="仿宋_GB2312"/>
                <w:color w:val="000000"/>
                <w:sz w:val="28"/>
                <w:szCs w:val="28"/>
                <w:lang w:eastAsia="zh-Hans"/>
              </w:rPr>
              <w:t>，</w:t>
            </w:r>
            <w:r>
              <w:rPr>
                <w:rFonts w:hint="eastAsia" w:ascii="仿宋_GB2312" w:hAnsi="仿宋_GB2312" w:cs="仿宋_GB2312"/>
                <w:color w:val="000000"/>
                <w:sz w:val="28"/>
                <w:szCs w:val="28"/>
              </w:rPr>
              <w:t>引用8200次，申请发明专利50余项。曾获天津市科技进步一等奖、天津市青年科技奖、2017年IEEE通讯协会年度最佳杂志论文奖，2022年IEEE通讯协会亚太地区年度杰出论文奖等奖项，入选中国计算机学会分布式专委会杰出青年学者；兼任</w:t>
            </w:r>
            <w:r>
              <w:rPr>
                <w:rFonts w:hint="eastAsia" w:ascii="仿宋_GB2312" w:hAnsi="仿宋_GB2312" w:cs="仿宋_GB2312"/>
                <w:color w:val="000000"/>
                <w:sz w:val="28"/>
                <w:szCs w:val="28"/>
                <w:lang w:eastAsia="zh-Hans"/>
              </w:rPr>
              <w:t>天津市人工智能学会青少年科普与竞赛专委会主任（CSP/NOIP/NOI等信息学奥赛相关组织负责人）。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exac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9</w:t>
            </w:r>
          </w:p>
        </w:tc>
        <w:tc>
          <w:tcPr>
            <w:tcW w:w="1038" w:type="dxa"/>
            <w:vMerge w:val="continue"/>
            <w:vAlign w:val="center"/>
          </w:tcPr>
          <w:p>
            <w:pPr>
              <w:adjustRightInd w:val="0"/>
              <w:snapToGrid w:val="0"/>
              <w:ind w:firstLine="588"/>
              <w:jc w:val="center"/>
              <w:rPr>
                <w:rFonts w:ascii="仿宋_GB2312" w:hAnsi="仿宋_GB2312" w:cs="仿宋_GB2312"/>
                <w:color w:val="000000"/>
                <w:sz w:val="28"/>
                <w:szCs w:val="28"/>
              </w:rPr>
            </w:pPr>
          </w:p>
        </w:tc>
        <w:tc>
          <w:tcPr>
            <w:tcW w:w="1121" w:type="dxa"/>
            <w:vAlign w:val="center"/>
          </w:tcPr>
          <w:p>
            <w:pPr>
              <w:adjustRightInd w:val="0"/>
              <w:snapToGrid w:val="0"/>
              <w:spacing w:line="400" w:lineRule="exact"/>
              <w:ind w:firstLine="0" w:firstLineChars="0"/>
              <w:jc w:val="center"/>
              <w:rPr>
                <w:rFonts w:ascii="仿宋_GB2312" w:hAnsi="仿宋_GB2312" w:cs="仿宋_GB2312"/>
                <w:color w:val="000000"/>
                <w:sz w:val="28"/>
                <w:szCs w:val="28"/>
                <w:lang w:eastAsia="zh-Hans"/>
              </w:rPr>
            </w:pPr>
            <w:r>
              <w:rPr>
                <w:rFonts w:hint="eastAsia" w:ascii="仿宋_GB2312" w:hAnsi="仿宋_GB2312" w:cs="仿宋_GB2312"/>
                <w:color w:val="000000"/>
                <w:sz w:val="28"/>
                <w:szCs w:val="28"/>
                <w:lang w:eastAsia="zh-Hans"/>
              </w:rPr>
              <w:t>计算机科学</w:t>
            </w:r>
          </w:p>
        </w:tc>
        <w:tc>
          <w:tcPr>
            <w:tcW w:w="1494" w:type="dxa"/>
            <w:vAlign w:val="center"/>
          </w:tcPr>
          <w:p>
            <w:pPr>
              <w:adjustRightInd w:val="0"/>
              <w:snapToGrid w:val="0"/>
              <w:spacing w:line="400" w:lineRule="exact"/>
              <w:ind w:firstLine="0" w:firstLineChars="0"/>
              <w:jc w:val="center"/>
              <w:rPr>
                <w:rFonts w:ascii="仿宋_GB2312" w:hAnsi="仿宋_GB2312" w:cs="仿宋_GB2312"/>
                <w:color w:val="000000"/>
                <w:sz w:val="28"/>
                <w:szCs w:val="28"/>
                <w:lang w:eastAsia="zh-Hans"/>
              </w:rPr>
            </w:pPr>
            <w:r>
              <w:rPr>
                <w:rFonts w:hint="eastAsia" w:ascii="仿宋_GB2312" w:hAnsi="仿宋_GB2312" w:cs="仿宋_GB2312"/>
                <w:color w:val="000000"/>
                <w:sz w:val="28"/>
                <w:szCs w:val="28"/>
              </w:rPr>
              <w:t>王龙标</w:t>
            </w:r>
          </w:p>
        </w:tc>
        <w:tc>
          <w:tcPr>
            <w:tcW w:w="1920" w:type="dxa"/>
            <w:vAlign w:val="center"/>
          </w:tcPr>
          <w:p>
            <w:pPr>
              <w:adjustRightInd w:val="0"/>
              <w:snapToGrid w:val="0"/>
              <w:spacing w:line="400" w:lineRule="exact"/>
              <w:ind w:left="190" w:firstLine="0" w:firstLineChars="0"/>
              <w:rPr>
                <w:rFonts w:ascii="仿宋_GB2312" w:hAnsi="仿宋_GB2312" w:cs="仿宋_GB2312"/>
                <w:color w:val="000000"/>
                <w:sz w:val="28"/>
                <w:szCs w:val="28"/>
                <w:lang w:eastAsia="zh-Hans"/>
              </w:rPr>
            </w:pPr>
            <w:r>
              <w:rPr>
                <w:rFonts w:hint="eastAsia" w:ascii="仿宋_GB2312" w:hAnsi="仿宋_GB2312" w:cs="仿宋_GB2312"/>
                <w:color w:val="000000"/>
                <w:sz w:val="28"/>
                <w:szCs w:val="28"/>
              </w:rPr>
              <w:t>长聘</w:t>
            </w:r>
            <w:r>
              <w:rPr>
                <w:rFonts w:hint="eastAsia" w:ascii="仿宋_GB2312" w:hAnsi="仿宋_GB2312" w:cs="仿宋_GB2312"/>
                <w:color w:val="000000"/>
                <w:sz w:val="28"/>
                <w:szCs w:val="28"/>
                <w:lang w:eastAsia="zh-Hans"/>
              </w:rPr>
              <w:t>正</w:t>
            </w:r>
            <w:r>
              <w:rPr>
                <w:rFonts w:hint="eastAsia" w:ascii="仿宋_GB2312" w:hAnsi="仿宋_GB2312" w:cs="仿宋_GB2312"/>
                <w:color w:val="000000"/>
                <w:sz w:val="28"/>
                <w:szCs w:val="28"/>
              </w:rPr>
              <w:t>教授，</w:t>
            </w:r>
            <w:r>
              <w:rPr>
                <w:rFonts w:hint="eastAsia" w:ascii="仿宋_GB2312" w:hAnsi="仿宋_GB2312" w:cs="仿宋_GB2312"/>
                <w:color w:val="000000"/>
                <w:sz w:val="28"/>
                <w:szCs w:val="28"/>
                <w:lang w:eastAsia="zh-Hans"/>
              </w:rPr>
              <w:t>国家海外高层次人才引进计划（青年）</w:t>
            </w:r>
          </w:p>
        </w:tc>
        <w:tc>
          <w:tcPr>
            <w:tcW w:w="7587" w:type="dxa"/>
            <w:vAlign w:val="center"/>
          </w:tcPr>
          <w:p>
            <w:pPr>
              <w:adjustRightInd w:val="0"/>
              <w:snapToGrid w:val="0"/>
              <w:spacing w:line="400" w:lineRule="exact"/>
              <w:ind w:firstLine="0" w:firstLineChars="0"/>
              <w:jc w:val="left"/>
              <w:rPr>
                <w:rFonts w:ascii="仿宋_GB2312" w:hAnsi="仿宋_GB2312" w:cs="仿宋_GB2312"/>
                <w:color w:val="000000"/>
                <w:sz w:val="28"/>
                <w:szCs w:val="28"/>
              </w:rPr>
            </w:pPr>
            <w:r>
              <w:rPr>
                <w:rFonts w:hint="eastAsia" w:ascii="仿宋_GB2312" w:hAnsi="仿宋_GB2312" w:cs="仿宋_GB2312"/>
                <w:color w:val="000000"/>
                <w:sz w:val="28"/>
                <w:szCs w:val="28"/>
              </w:rPr>
              <w:t>主要从事语音信息处理、声学信号处理、自然语言处理、机器学习、人工智能等方面的研究。发表了高水平论文200余篇，申请专利40余项。攻克了复杂场景下识别性能低、人机交互不自然等“卡脖子”关键问题，相关成果应用到二十余家人工智能龙头企业，获得天津市科技进步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exac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10</w:t>
            </w:r>
          </w:p>
        </w:tc>
        <w:tc>
          <w:tcPr>
            <w:tcW w:w="1038" w:type="dxa"/>
            <w:vMerge w:val="restart"/>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天津工业大学</w:t>
            </w:r>
          </w:p>
        </w:tc>
        <w:tc>
          <w:tcPr>
            <w:tcW w:w="1121"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数学</w:t>
            </w:r>
          </w:p>
        </w:tc>
        <w:tc>
          <w:tcPr>
            <w:tcW w:w="1494"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李晓月</w:t>
            </w:r>
          </w:p>
        </w:tc>
        <w:tc>
          <w:tcPr>
            <w:tcW w:w="1920" w:type="dxa"/>
            <w:vAlign w:val="center"/>
          </w:tcPr>
          <w:p>
            <w:pPr>
              <w:adjustRightInd w:val="0"/>
              <w:snapToGrid w:val="0"/>
              <w:ind w:left="190"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教授，天津市高校学科领军人才，吉林省领军人才</w:t>
            </w:r>
          </w:p>
        </w:tc>
        <w:tc>
          <w:tcPr>
            <w:tcW w:w="7587" w:type="dxa"/>
            <w:vAlign w:val="center"/>
          </w:tcPr>
          <w:p>
            <w:pPr>
              <w:adjustRightInd w:val="0"/>
              <w:snapToGrid w:val="0"/>
              <w:ind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 xml:space="preserve">主要从事与数学、自动化控制、生物等学科密切相关的非线性随机系统的渐近性质分析及其数值逼近问题的研究。主持国家自然科学基金面上项目3项、青年项目1项以及省部级项目多项，参与国家重点研发计划；发表论文40余篇。培养了博士生毕业4名、硕士生毕业20余名，指导学生曾获广西省杰出青年基金、省优秀博士学位论文、省优秀硕士学位论文等奖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exac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11</w:t>
            </w:r>
          </w:p>
        </w:tc>
        <w:tc>
          <w:tcPr>
            <w:tcW w:w="1038" w:type="dxa"/>
            <w:vMerge w:val="continue"/>
            <w:vAlign w:val="center"/>
          </w:tcPr>
          <w:p>
            <w:pPr>
              <w:adjustRightInd w:val="0"/>
              <w:snapToGrid w:val="0"/>
              <w:ind w:firstLine="588"/>
              <w:jc w:val="center"/>
              <w:rPr>
                <w:rFonts w:ascii="仿宋_GB2312" w:hAnsi="仿宋_GB2312" w:cs="仿宋_GB2312"/>
                <w:color w:val="000000"/>
                <w:sz w:val="28"/>
                <w:szCs w:val="28"/>
              </w:rPr>
            </w:pPr>
          </w:p>
        </w:tc>
        <w:tc>
          <w:tcPr>
            <w:tcW w:w="1121"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数学</w:t>
            </w:r>
          </w:p>
        </w:tc>
        <w:tc>
          <w:tcPr>
            <w:tcW w:w="1494"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吕云飞</w:t>
            </w:r>
          </w:p>
        </w:tc>
        <w:tc>
          <w:tcPr>
            <w:tcW w:w="1920" w:type="dxa"/>
            <w:vAlign w:val="center"/>
          </w:tcPr>
          <w:p>
            <w:pPr>
              <w:adjustRightInd w:val="0"/>
              <w:snapToGrid w:val="0"/>
              <w:ind w:left="190"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教授，天津市131第二层次人选、天津市高校“中青年骨干创新人才培养计划”人选</w:t>
            </w:r>
          </w:p>
        </w:tc>
        <w:tc>
          <w:tcPr>
            <w:tcW w:w="7587" w:type="dxa"/>
            <w:vAlign w:val="center"/>
          </w:tcPr>
          <w:p>
            <w:pPr>
              <w:adjustRightInd w:val="0"/>
              <w:snapToGrid w:val="0"/>
              <w:ind w:right="322" w:rightChars="103"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主要从事微分方程与动力系统、生物数学两方面的研究。主持国家自然科学青年基金和面上项目各1项，在</w:t>
            </w:r>
            <w:r>
              <w:rPr>
                <w:rFonts w:hint="eastAsia" w:ascii="仿宋_GB2312" w:hAnsi="仿宋_GB2312" w:cs="仿宋_GB2312"/>
                <w:bCs/>
                <w:color w:val="000000"/>
                <w:sz w:val="28"/>
                <w:szCs w:val="28"/>
              </w:rPr>
              <w:t>J. Differ. Equ., J. Dyn. Differ. Equ., Discrete Contin. Dyn. Syst., Bull. Math. Biol.</w:t>
            </w:r>
            <w:r>
              <w:rPr>
                <w:rFonts w:hint="eastAsia" w:ascii="仿宋_GB2312" w:hAnsi="仿宋_GB2312" w:cs="仿宋_GB2312"/>
                <w:color w:val="000000"/>
                <w:sz w:val="28"/>
                <w:szCs w:val="28"/>
              </w:rPr>
              <w:t>等数学重要SCI期刊发表论文40余篇；曾获天津工业大学“天工杰青”人才称号。指导博士生2名、硕士生6名，指导学生曾在</w:t>
            </w:r>
            <w:r>
              <w:rPr>
                <w:rFonts w:hint="eastAsia" w:ascii="仿宋_GB2312" w:hAnsi="仿宋_GB2312" w:cs="仿宋_GB2312"/>
                <w:bCs/>
                <w:color w:val="000000"/>
                <w:sz w:val="28"/>
                <w:szCs w:val="28"/>
              </w:rPr>
              <w:t>Bull. Math. Biol</w:t>
            </w:r>
            <w:r>
              <w:rPr>
                <w:rFonts w:hint="eastAsia" w:ascii="仿宋_GB2312" w:hAnsi="仿宋_GB2312" w:cs="仿宋_GB2312"/>
                <w:color w:val="000000"/>
                <w:sz w:val="28"/>
                <w:szCs w:val="28"/>
              </w:rPr>
              <w:t>上发表SCI论文，入选《人民日报》刊发本专科生国家奖学金获奖学生代表名录。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exac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12</w:t>
            </w:r>
          </w:p>
        </w:tc>
        <w:tc>
          <w:tcPr>
            <w:tcW w:w="1038" w:type="dxa"/>
            <w:vMerge w:val="continue"/>
            <w:vAlign w:val="center"/>
          </w:tcPr>
          <w:p>
            <w:pPr>
              <w:adjustRightInd w:val="0"/>
              <w:snapToGrid w:val="0"/>
              <w:ind w:firstLine="588"/>
              <w:jc w:val="center"/>
              <w:rPr>
                <w:rFonts w:ascii="仿宋_GB2312" w:hAnsi="仿宋_GB2312" w:cs="仿宋_GB2312"/>
                <w:color w:val="000000"/>
                <w:sz w:val="28"/>
                <w:szCs w:val="28"/>
              </w:rPr>
            </w:pPr>
          </w:p>
        </w:tc>
        <w:tc>
          <w:tcPr>
            <w:tcW w:w="1121"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物理学</w:t>
            </w:r>
          </w:p>
        </w:tc>
        <w:tc>
          <w:tcPr>
            <w:tcW w:w="1494"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张海明</w:t>
            </w:r>
          </w:p>
        </w:tc>
        <w:tc>
          <w:tcPr>
            <w:tcW w:w="1920" w:type="dxa"/>
            <w:vAlign w:val="center"/>
          </w:tcPr>
          <w:p>
            <w:pPr>
              <w:adjustRightInd w:val="0"/>
              <w:snapToGrid w:val="0"/>
              <w:ind w:left="190"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教授，天津市“中青年骨干学科领军人才培养计划”人选、天津市教学名师</w:t>
            </w:r>
          </w:p>
        </w:tc>
        <w:tc>
          <w:tcPr>
            <w:tcW w:w="7587" w:type="dxa"/>
            <w:vAlign w:val="center"/>
          </w:tcPr>
          <w:p>
            <w:pPr>
              <w:adjustRightInd w:val="0"/>
              <w:snapToGrid w:val="0"/>
              <w:ind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主要从事宽禁带半导体光电子功能材料与器件、气体传感技术等领域的研究。主持完成国家自然科学基金面上项目及各类横向课题10余项；在国内外著名期刊累计发表论文80余篇，其中被SCI收录50余篇；取得授权国家发明专利2项。曾获第十届霍英东青年教师奖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exac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13</w:t>
            </w:r>
          </w:p>
        </w:tc>
        <w:tc>
          <w:tcPr>
            <w:tcW w:w="1038" w:type="dxa"/>
            <w:vMerge w:val="continue"/>
            <w:vAlign w:val="center"/>
          </w:tcPr>
          <w:p>
            <w:pPr>
              <w:adjustRightInd w:val="0"/>
              <w:snapToGrid w:val="0"/>
              <w:ind w:firstLine="588"/>
              <w:jc w:val="center"/>
              <w:rPr>
                <w:rFonts w:ascii="仿宋_GB2312" w:hAnsi="仿宋_GB2312" w:cs="仿宋_GB2312"/>
                <w:color w:val="000000"/>
                <w:sz w:val="28"/>
                <w:szCs w:val="28"/>
              </w:rPr>
            </w:pPr>
          </w:p>
        </w:tc>
        <w:tc>
          <w:tcPr>
            <w:tcW w:w="1121"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物理学（光学工程）</w:t>
            </w:r>
          </w:p>
        </w:tc>
        <w:tc>
          <w:tcPr>
            <w:tcW w:w="1494"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雷剑波</w:t>
            </w:r>
          </w:p>
        </w:tc>
        <w:tc>
          <w:tcPr>
            <w:tcW w:w="1920" w:type="dxa"/>
            <w:vAlign w:val="center"/>
          </w:tcPr>
          <w:p>
            <w:pPr>
              <w:adjustRightInd w:val="0"/>
              <w:snapToGrid w:val="0"/>
              <w:ind w:left="190"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教授，天津市青年拔尖人才、天津市青年科技优秀人才、河北省科技英才</w:t>
            </w:r>
          </w:p>
        </w:tc>
        <w:tc>
          <w:tcPr>
            <w:tcW w:w="7587" w:type="dxa"/>
            <w:vAlign w:val="center"/>
          </w:tcPr>
          <w:p>
            <w:pPr>
              <w:adjustRightInd w:val="0"/>
              <w:snapToGrid w:val="0"/>
              <w:ind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主要从事激光增材与再制造工业应用及研究工作。完成国家自然科学基金、国家重点研发计划、工信部及天津市等项目12项，发表中英文论文70余篇，获批专利20余项，达沃斯论坛青年科学家代表、国家自然科学基金评审专家、天津市光学学会、激光技术学会常务理事，国内外知名学术期刊（机械工程学报、中国激光、Additive Manufacturing 、JOURNAL OF ALLOYS AND COMPOUNDS、Optics &amp; Laser Technology等）审稿人。曾获山东省科技进步三等奖、河北省科技合作奖。指导学生获批国家留基委出国读博CSC奖学金15人，在挑战杯天津市大学生课外学术科技作品竞赛中获一等奖，获市优秀指导教师称号。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14</w:t>
            </w:r>
          </w:p>
        </w:tc>
        <w:tc>
          <w:tcPr>
            <w:tcW w:w="1038" w:type="dxa"/>
            <w:vMerge w:val="restart"/>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天津医科大学</w:t>
            </w:r>
          </w:p>
        </w:tc>
        <w:tc>
          <w:tcPr>
            <w:tcW w:w="1121"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基础医学</w:t>
            </w:r>
          </w:p>
        </w:tc>
        <w:tc>
          <w:tcPr>
            <w:tcW w:w="1494"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董城</w:t>
            </w:r>
          </w:p>
        </w:tc>
        <w:tc>
          <w:tcPr>
            <w:tcW w:w="1920" w:type="dxa"/>
            <w:vAlign w:val="center"/>
          </w:tcPr>
          <w:p>
            <w:pPr>
              <w:adjustRightInd w:val="0"/>
              <w:snapToGrid w:val="0"/>
              <w:ind w:left="190"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教授，国家青年拔尖人才</w:t>
            </w:r>
          </w:p>
        </w:tc>
        <w:tc>
          <w:tcPr>
            <w:tcW w:w="7587" w:type="dxa"/>
            <w:vAlign w:val="center"/>
          </w:tcPr>
          <w:p>
            <w:pPr>
              <w:adjustRightInd w:val="0"/>
              <w:snapToGrid w:val="0"/>
              <w:ind w:firstLine="0" w:firstLineChars="0"/>
              <w:jc w:val="left"/>
              <w:rPr>
                <w:rFonts w:ascii="仿宋_GB2312" w:hAnsi="仿宋_GB2312" w:cs="仿宋_GB2312"/>
                <w:color w:val="000000"/>
                <w:sz w:val="28"/>
                <w:szCs w:val="28"/>
              </w:rPr>
            </w:pPr>
            <w:r>
              <w:rPr>
                <w:rFonts w:hint="eastAsia" w:ascii="仿宋_GB2312" w:hAnsi="仿宋_GB2312" w:cs="仿宋_GB2312"/>
                <w:color w:val="000000"/>
                <w:sz w:val="28"/>
                <w:szCs w:val="28"/>
              </w:rPr>
              <w:t>主要从事蛋白质靶向降解和小分子药物设计研究。2014年获南开大学博士学位，随后在加拿大多伦多大学进行博士后研究。近三年以通讯作者身份在Molecular Cell(2021)，Nature Chemical Biology(2021)，PNAS(2022)，Nature Communications(2022,2023)等期刊上发表相关成果。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exac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15</w:t>
            </w:r>
          </w:p>
        </w:tc>
        <w:tc>
          <w:tcPr>
            <w:tcW w:w="1038" w:type="dxa"/>
            <w:vMerge w:val="continue"/>
            <w:vAlign w:val="center"/>
          </w:tcPr>
          <w:p>
            <w:pPr>
              <w:adjustRightInd w:val="0"/>
              <w:snapToGrid w:val="0"/>
              <w:ind w:firstLine="588"/>
              <w:jc w:val="center"/>
              <w:rPr>
                <w:rFonts w:ascii="仿宋_GB2312" w:hAnsi="仿宋_GB2312" w:cs="仿宋_GB2312"/>
                <w:color w:val="000000"/>
                <w:sz w:val="28"/>
                <w:szCs w:val="28"/>
              </w:rPr>
            </w:pPr>
          </w:p>
        </w:tc>
        <w:tc>
          <w:tcPr>
            <w:tcW w:w="1121"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基础医学</w:t>
            </w:r>
          </w:p>
        </w:tc>
        <w:tc>
          <w:tcPr>
            <w:tcW w:w="1494"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李津</w:t>
            </w:r>
          </w:p>
        </w:tc>
        <w:tc>
          <w:tcPr>
            <w:tcW w:w="1920" w:type="dxa"/>
            <w:vAlign w:val="center"/>
          </w:tcPr>
          <w:p>
            <w:pPr>
              <w:adjustRightInd w:val="0"/>
              <w:snapToGrid w:val="0"/>
              <w:ind w:left="190"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教授，天津医科大学高层次引进人才，天津市131创新型人才团队主要成员</w:t>
            </w:r>
          </w:p>
        </w:tc>
        <w:tc>
          <w:tcPr>
            <w:tcW w:w="7587" w:type="dxa"/>
            <w:vAlign w:val="center"/>
          </w:tcPr>
          <w:p>
            <w:pPr>
              <w:adjustRightInd w:val="0"/>
              <w:snapToGrid w:val="0"/>
              <w:ind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主要从事生物信息学和实验生物学、儿童免疫疾病及神经精神类疾病的研究。2007年获美国康奈尔大学理学博士学位，后在美国安德森癌症研究中心进行博士后研究，并取得生物统计学硕士学位。发表SCI论文12篇，其中两篇关于幼年特发性关节炎的研究刊登在风湿免疫领域的顶级期刊。指导学生获挑战杯市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exac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16</w:t>
            </w:r>
          </w:p>
        </w:tc>
        <w:tc>
          <w:tcPr>
            <w:tcW w:w="1038" w:type="dxa"/>
            <w:vMerge w:val="restart"/>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天津中医药大学</w:t>
            </w:r>
          </w:p>
        </w:tc>
        <w:tc>
          <w:tcPr>
            <w:tcW w:w="1121"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中医学</w:t>
            </w:r>
          </w:p>
        </w:tc>
        <w:tc>
          <w:tcPr>
            <w:tcW w:w="1494"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张伯礼</w:t>
            </w:r>
          </w:p>
        </w:tc>
        <w:tc>
          <w:tcPr>
            <w:tcW w:w="1920" w:type="dxa"/>
            <w:vAlign w:val="center"/>
          </w:tcPr>
          <w:p>
            <w:pPr>
              <w:adjustRightInd w:val="0"/>
              <w:snapToGrid w:val="0"/>
              <w:ind w:left="190"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教授，“人民英雄”国家荣誉称号获得者、国医大师、中国工程院院士</w:t>
            </w:r>
          </w:p>
        </w:tc>
        <w:tc>
          <w:tcPr>
            <w:tcW w:w="7587" w:type="dxa"/>
            <w:vAlign w:val="center"/>
          </w:tcPr>
          <w:p>
            <w:pPr>
              <w:adjustRightInd w:val="0"/>
              <w:snapToGrid w:val="0"/>
              <w:ind w:firstLine="0" w:firstLineChars="0"/>
              <w:jc w:val="left"/>
              <w:rPr>
                <w:rFonts w:ascii="仿宋_GB2312" w:hAnsi="仿宋_GB2312" w:cs="仿宋_GB2312"/>
                <w:color w:val="000000"/>
                <w:sz w:val="28"/>
                <w:szCs w:val="28"/>
              </w:rPr>
            </w:pPr>
            <w:r>
              <w:rPr>
                <w:rFonts w:hint="eastAsia" w:ascii="仿宋_GB2312" w:hAnsi="仿宋_GB2312" w:cs="仿宋_GB2312"/>
                <w:color w:val="000000"/>
                <w:sz w:val="28"/>
                <w:szCs w:val="28"/>
              </w:rPr>
              <w:t>主要从事</w:t>
            </w:r>
            <w:r>
              <w:rPr>
                <w:rFonts w:hint="eastAsia" w:ascii="仿宋_GB2312" w:hAnsi="仿宋_GB2312" w:cs="仿宋_GB2312"/>
                <w:color w:val="000000"/>
                <w:sz w:val="28"/>
                <w:szCs w:val="28"/>
              </w:rPr>
              <w:fldChar w:fldCharType="begin"/>
            </w:r>
            <w:r>
              <w:rPr>
                <w:rFonts w:hint="eastAsia" w:ascii="仿宋_GB2312" w:hAnsi="仿宋_GB2312" w:cs="仿宋_GB2312"/>
                <w:color w:val="000000"/>
                <w:sz w:val="28"/>
                <w:szCs w:val="28"/>
              </w:rPr>
              <w:instrText xml:space="preserve"> HYPERLINK "https://baike.baidu.com/item/%E5%BF%83%E8%84%91%E8%A1%80%E7%AE%A1%E7%96%BE%E7%97%85/1441397?fromModule=lemma_inlink" \t "https://baike.baidu.com/item/%E5%BC%A0%E4%BC%AF%E7%A4%BC/_blank" </w:instrText>
            </w:r>
            <w:r>
              <w:rPr>
                <w:rFonts w:hint="eastAsia" w:ascii="仿宋_GB2312" w:hAnsi="仿宋_GB2312" w:cs="仿宋_GB2312"/>
                <w:color w:val="000000"/>
                <w:sz w:val="28"/>
                <w:szCs w:val="28"/>
              </w:rPr>
              <w:fldChar w:fldCharType="separate"/>
            </w:r>
            <w:r>
              <w:rPr>
                <w:rFonts w:hint="eastAsia" w:ascii="仿宋_GB2312" w:hAnsi="仿宋_GB2312" w:cs="仿宋_GB2312"/>
                <w:color w:val="000000"/>
                <w:sz w:val="28"/>
                <w:szCs w:val="28"/>
              </w:rPr>
              <w:t>心脑血管疾病</w:t>
            </w:r>
            <w:r>
              <w:rPr>
                <w:rFonts w:hint="eastAsia" w:ascii="仿宋_GB2312" w:hAnsi="仿宋_GB2312" w:cs="仿宋_GB2312"/>
                <w:color w:val="000000"/>
                <w:sz w:val="28"/>
                <w:szCs w:val="28"/>
              </w:rPr>
              <w:fldChar w:fldCharType="end"/>
            </w:r>
            <w:r>
              <w:rPr>
                <w:rFonts w:hint="eastAsia" w:ascii="仿宋_GB2312" w:hAnsi="仿宋_GB2312" w:cs="仿宋_GB2312"/>
                <w:color w:val="000000"/>
                <w:sz w:val="28"/>
                <w:szCs w:val="28"/>
              </w:rPr>
              <w:t>防治和中医药现代化研究工作。发表论文300余篇，编写专著20余部，曾获包括一等奖在内的国家科技奖励7项，省部级一等奖10余项，培养毕业硕博士研究生及博士后200余名，获全国百篇优博论文3篇，提名奖2篇。担任“重大新药创制”科技重大专项技术副总师，国务院医改咨询专家委员会成员，第十届国家药典委员会执委兼中医专业委员会主任委员，中华中医药学会副会长，中华预防医学会副会长，中国中西医结合学会名誉会长，世界中医药学会联合会教育指导委员会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17</w:t>
            </w:r>
          </w:p>
        </w:tc>
        <w:tc>
          <w:tcPr>
            <w:tcW w:w="1038" w:type="dxa"/>
            <w:vMerge w:val="continue"/>
            <w:vAlign w:val="center"/>
          </w:tcPr>
          <w:p>
            <w:pPr>
              <w:adjustRightInd w:val="0"/>
              <w:snapToGrid w:val="0"/>
              <w:ind w:firstLine="588"/>
              <w:jc w:val="center"/>
              <w:rPr>
                <w:rFonts w:ascii="仿宋_GB2312" w:hAnsi="仿宋_GB2312" w:cs="仿宋_GB2312"/>
                <w:color w:val="000000"/>
                <w:sz w:val="28"/>
                <w:szCs w:val="28"/>
              </w:rPr>
            </w:pPr>
          </w:p>
        </w:tc>
        <w:tc>
          <w:tcPr>
            <w:tcW w:w="1121"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中医学</w:t>
            </w:r>
          </w:p>
        </w:tc>
        <w:tc>
          <w:tcPr>
            <w:tcW w:w="1494"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郭义</w:t>
            </w:r>
          </w:p>
        </w:tc>
        <w:tc>
          <w:tcPr>
            <w:tcW w:w="1920" w:type="dxa"/>
            <w:vAlign w:val="center"/>
          </w:tcPr>
          <w:p>
            <w:pPr>
              <w:adjustRightInd w:val="0"/>
              <w:snapToGrid w:val="0"/>
              <w:ind w:left="190"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教授、研究员，博士研究生导师、首批全国中医药高等学校教学名师、首批国家级高层次人才、天津市杰出人才、天津市优秀科技工作者标兵</w:t>
            </w:r>
          </w:p>
          <w:p>
            <w:pPr>
              <w:adjustRightInd w:val="0"/>
              <w:snapToGrid w:val="0"/>
              <w:ind w:left="190" w:firstLine="0" w:firstLineChars="0"/>
              <w:rPr>
                <w:rFonts w:ascii="仿宋_GB2312" w:hAnsi="仿宋_GB2312" w:cs="仿宋_GB2312"/>
                <w:color w:val="000000"/>
                <w:sz w:val="28"/>
                <w:szCs w:val="28"/>
              </w:rPr>
            </w:pPr>
          </w:p>
        </w:tc>
        <w:tc>
          <w:tcPr>
            <w:tcW w:w="7587" w:type="dxa"/>
            <w:vAlign w:val="center"/>
          </w:tcPr>
          <w:p>
            <w:pPr>
              <w:adjustRightInd w:val="0"/>
              <w:snapToGrid w:val="0"/>
              <w:ind w:firstLine="0" w:firstLineChars="0"/>
              <w:jc w:val="left"/>
              <w:rPr>
                <w:rFonts w:ascii="仿宋_GB2312" w:hAnsi="仿宋_GB2312" w:cs="仿宋_GB2312"/>
                <w:color w:val="000000"/>
                <w:sz w:val="28"/>
                <w:szCs w:val="28"/>
              </w:rPr>
            </w:pPr>
            <w:r>
              <w:rPr>
                <w:rFonts w:hint="eastAsia" w:ascii="仿宋_GB2312" w:hAnsi="仿宋_GB2312" w:cs="仿宋_GB2312"/>
                <w:color w:val="000000"/>
                <w:sz w:val="28"/>
                <w:szCs w:val="28"/>
              </w:rPr>
              <w:t>主要从事针灸作用原理、中医标准化、中医药航天研究工作。主持国家“973”计划、国家自然科学基金、中国航天科技项目等课题38项；出版著作50部，发表论文700余篇。主持获国家教学成果二等奖、省部级科学研究一等奖、二等奖等多项。中国中医科学院首批客座研究员，香港浸会大学名誉教授，日本铃鹿医疗科学大学主任研究员，英国中医针灸师专业协会（PACHA）名誉主席，世界中医药学会联合会中医适宜技术评价与推广委员会主任委员，中国针灸学会常务理事，全国针灸标准化技术委员会副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exac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18</w:t>
            </w:r>
          </w:p>
        </w:tc>
        <w:tc>
          <w:tcPr>
            <w:tcW w:w="1038" w:type="dxa"/>
            <w:vMerge w:val="continue"/>
            <w:vAlign w:val="center"/>
          </w:tcPr>
          <w:p>
            <w:pPr>
              <w:adjustRightInd w:val="0"/>
              <w:snapToGrid w:val="0"/>
              <w:ind w:firstLine="588"/>
              <w:jc w:val="center"/>
              <w:rPr>
                <w:rFonts w:ascii="仿宋_GB2312" w:hAnsi="仿宋_GB2312" w:cs="仿宋_GB2312"/>
                <w:color w:val="000000"/>
                <w:sz w:val="28"/>
                <w:szCs w:val="28"/>
              </w:rPr>
            </w:pPr>
          </w:p>
        </w:tc>
        <w:tc>
          <w:tcPr>
            <w:tcW w:w="1121" w:type="dxa"/>
            <w:vAlign w:val="center"/>
          </w:tcPr>
          <w:p>
            <w:pPr>
              <w:adjustRightInd w:val="0"/>
              <w:snapToGrid w:val="0"/>
              <w:ind w:firstLine="0" w:firstLineChars="0"/>
              <w:jc w:val="center"/>
              <w:rPr>
                <w:rFonts w:ascii="仿宋_GB2312" w:hAnsi="仿宋_GB2312" w:cs="仿宋_GB2312"/>
                <w:color w:val="000000"/>
                <w:sz w:val="28"/>
                <w:szCs w:val="28"/>
              </w:rPr>
            </w:pPr>
          </w:p>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中药学</w:t>
            </w:r>
          </w:p>
        </w:tc>
        <w:tc>
          <w:tcPr>
            <w:tcW w:w="1494"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于海洋</w:t>
            </w:r>
          </w:p>
        </w:tc>
        <w:tc>
          <w:tcPr>
            <w:tcW w:w="1920" w:type="dxa"/>
            <w:vAlign w:val="center"/>
          </w:tcPr>
          <w:p>
            <w:pPr>
              <w:adjustRightInd w:val="0"/>
              <w:snapToGrid w:val="0"/>
              <w:ind w:left="190"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教授，国家“万人计划”青年拔尖人才、天津市海外高层次引进人才</w:t>
            </w:r>
          </w:p>
        </w:tc>
        <w:tc>
          <w:tcPr>
            <w:tcW w:w="7587" w:type="dxa"/>
            <w:vAlign w:val="center"/>
          </w:tcPr>
          <w:p>
            <w:pPr>
              <w:adjustRightInd w:val="0"/>
              <w:snapToGrid w:val="0"/>
              <w:ind w:firstLine="0" w:firstLineChars="0"/>
              <w:jc w:val="left"/>
              <w:rPr>
                <w:rFonts w:ascii="仿宋_GB2312" w:hAnsi="仿宋_GB2312" w:cs="仿宋_GB2312"/>
                <w:color w:val="000000"/>
                <w:sz w:val="28"/>
                <w:szCs w:val="28"/>
              </w:rPr>
            </w:pPr>
            <w:r>
              <w:rPr>
                <w:rFonts w:hint="eastAsia" w:ascii="仿宋_GB2312" w:hAnsi="仿宋_GB2312" w:cs="仿宋_GB2312"/>
                <w:color w:val="000000"/>
                <w:sz w:val="28"/>
                <w:szCs w:val="28"/>
              </w:rPr>
              <w:t>主要从事中药及天然药物抗肿瘤分子作用机制、抗肿瘤药物药理的研究。主持国家重点研发计划项目1项、国家自然科学基金项目5项；发表高水平学术论文50余篇，其中ESI高被引论文3篇；申请发明专利10项，授权6项；曾获省部级科技进步一等奖1项、二等奖2项；中华中医药学会“中青年创新人才奖”、天津中医药大学“杰出人才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exac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19</w:t>
            </w:r>
          </w:p>
        </w:tc>
        <w:tc>
          <w:tcPr>
            <w:tcW w:w="1038"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天津师范大学</w:t>
            </w:r>
          </w:p>
        </w:tc>
        <w:tc>
          <w:tcPr>
            <w:tcW w:w="1121"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心理学</w:t>
            </w:r>
          </w:p>
        </w:tc>
        <w:tc>
          <w:tcPr>
            <w:tcW w:w="1494"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白学军</w:t>
            </w:r>
          </w:p>
        </w:tc>
        <w:tc>
          <w:tcPr>
            <w:tcW w:w="1920" w:type="dxa"/>
            <w:vAlign w:val="center"/>
          </w:tcPr>
          <w:p>
            <w:pPr>
              <w:adjustRightInd w:val="0"/>
              <w:snapToGrid w:val="0"/>
              <w:ind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教授、“长江学者奖励计划”特聘教授、“万人计划”学科领军人才、文化名家暨“四个一批”人才</w:t>
            </w:r>
          </w:p>
        </w:tc>
        <w:tc>
          <w:tcPr>
            <w:tcW w:w="7587" w:type="dxa"/>
            <w:vAlign w:val="center"/>
          </w:tcPr>
          <w:p>
            <w:pPr>
              <w:adjustRightInd w:val="0"/>
              <w:snapToGrid w:val="0"/>
              <w:ind w:firstLine="0" w:firstLineChars="0"/>
              <w:jc w:val="left"/>
              <w:rPr>
                <w:rFonts w:ascii="仿宋_GB2312" w:hAnsi="仿宋_GB2312" w:cs="仿宋_GB2312"/>
                <w:color w:val="000000"/>
                <w:sz w:val="28"/>
                <w:szCs w:val="28"/>
              </w:rPr>
            </w:pPr>
            <w:r>
              <w:rPr>
                <w:rFonts w:hint="eastAsia" w:ascii="仿宋_GB2312" w:hAnsi="仿宋_GB2312" w:cs="仿宋_GB2312"/>
                <w:color w:val="000000"/>
                <w:sz w:val="28"/>
                <w:szCs w:val="28"/>
              </w:rPr>
              <w:t>主要从事学生高效率学习的心理学研究。首创汉语阅读词切分研究范式，相关成果被引入国外经典教材。建成国家级一流课程2门，教育部课程思政师范课1门。主编的《实验心理学》获全国优秀教材一等奖。现任国务院学位委员会心理学科评议组成员、教育部高等学校心理学类专业教学指导委员会副主任。曾获全国五一劳动奖章，享受国务院政府特殊津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exact"/>
          <w:jc w:val="center"/>
        </w:trPr>
        <w:tc>
          <w:tcPr>
            <w:tcW w:w="815"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20</w:t>
            </w:r>
          </w:p>
        </w:tc>
        <w:tc>
          <w:tcPr>
            <w:tcW w:w="1038" w:type="dxa"/>
            <w:vAlign w:val="center"/>
          </w:tcPr>
          <w:p>
            <w:pPr>
              <w:adjustRightInd w:val="0"/>
              <w:snapToGrid w:val="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天津理工大学</w:t>
            </w:r>
          </w:p>
        </w:tc>
        <w:tc>
          <w:tcPr>
            <w:tcW w:w="1121" w:type="dxa"/>
            <w:vAlign w:val="center"/>
          </w:tcPr>
          <w:p>
            <w:pPr>
              <w:adjustRightInd w:val="0"/>
              <w:snapToGrid w:val="0"/>
              <w:spacing w:line="400" w:lineRule="exact"/>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化学（材料）</w:t>
            </w:r>
          </w:p>
        </w:tc>
        <w:tc>
          <w:tcPr>
            <w:tcW w:w="1494" w:type="dxa"/>
            <w:vAlign w:val="center"/>
          </w:tcPr>
          <w:p>
            <w:pPr>
              <w:adjustRightInd w:val="0"/>
              <w:snapToGrid w:val="0"/>
              <w:spacing w:line="400" w:lineRule="exact"/>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张志明</w:t>
            </w:r>
          </w:p>
        </w:tc>
        <w:tc>
          <w:tcPr>
            <w:tcW w:w="1920" w:type="dxa"/>
            <w:vAlign w:val="center"/>
          </w:tcPr>
          <w:p>
            <w:pPr>
              <w:adjustRightInd w:val="0"/>
              <w:snapToGrid w:val="0"/>
              <w:spacing w:line="400" w:lineRule="exact"/>
              <w:ind w:left="190"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教授，国家“优青”、天津市杰青、天津市特聘教授</w:t>
            </w:r>
          </w:p>
        </w:tc>
        <w:tc>
          <w:tcPr>
            <w:tcW w:w="7587" w:type="dxa"/>
            <w:vAlign w:val="center"/>
          </w:tcPr>
          <w:p>
            <w:pPr>
              <w:adjustRightInd w:val="0"/>
              <w:snapToGrid w:val="0"/>
              <w:spacing w:line="400" w:lineRule="exact"/>
              <w:ind w:firstLine="0" w:firstLineChars="0"/>
              <w:rPr>
                <w:rFonts w:ascii="仿宋_GB2312" w:hAnsi="仿宋_GB2312" w:cs="仿宋_GB2312"/>
                <w:color w:val="000000"/>
                <w:sz w:val="28"/>
                <w:szCs w:val="28"/>
              </w:rPr>
            </w:pPr>
            <w:r>
              <w:rPr>
                <w:rFonts w:hint="eastAsia" w:ascii="仿宋_GB2312" w:hAnsi="仿宋_GB2312" w:cs="仿宋_GB2312"/>
                <w:color w:val="000000"/>
                <w:sz w:val="28"/>
                <w:szCs w:val="28"/>
              </w:rPr>
              <w:t>主要从事人工光合催化剂的合成与光/电催化应用基础研究。先后主持国家自然科学基金重大研究计划、优青、面上、天津市杰青等项目。以第一或通讯作者在PNAS、Natl. Sci. Rev.、CCS Chem、J. Am. Chem. Soc.、Nat. Commun.、Angew. Chem.、Adv. Mater.等杂志发表SCI论文100余篇，授权发明专利6项。担任中国晶体学会、中国感光学会青年理事，天津市X-射线研究会副理事长，Chin. Chem. Lett.、Smartmat、Current Catal.、Polyoxometalate等杂志(青年)编委。曾获教育部自然科学一等奖 、天津市自然科学一等奖等奖励。</w:t>
            </w:r>
          </w:p>
        </w:tc>
      </w:tr>
    </w:tbl>
    <w:p>
      <w:pPr>
        <w:spacing w:line="560" w:lineRule="exact"/>
        <w:ind w:firstLine="0" w:firstLineChars="0"/>
        <w:rPr>
          <w:rFonts w:ascii="仿宋_GB2312"/>
          <w:bCs/>
          <w:sz w:val="32"/>
          <w:szCs w:val="32"/>
        </w:rPr>
        <w:sectPr>
          <w:pgSz w:w="16838" w:h="11906" w:orient="landscape"/>
          <w:pgMar w:top="1587" w:right="2098" w:bottom="1474" w:left="1985" w:header="851" w:footer="1587" w:gutter="0"/>
          <w:cols w:space="0" w:num="1"/>
          <w:docGrid w:type="linesAndChars" w:linePitch="589" w:charSpace="2837"/>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26"/>
      </w:pPr>
      <w:r>
        <w:separator/>
      </w:r>
    </w:p>
  </w:endnote>
  <w:endnote w:type="continuationSeparator" w:id="1">
    <w:p>
      <w:pPr>
        <w:ind w:firstLine="62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26"/>
      </w:pPr>
      <w:r>
        <w:separator/>
      </w:r>
    </w:p>
  </w:footnote>
  <w:footnote w:type="continuationSeparator" w:id="1">
    <w:p>
      <w:pPr>
        <w:ind w:firstLine="62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MzdjM2JiMmY3ZDE5YjA4Y2Y5ZTY3YzM1ZWQ5NzkifQ=="/>
  </w:docVars>
  <w:rsids>
    <w:rsidRoot w:val="00000000"/>
    <w:rsid w:val="010A4444"/>
    <w:rsid w:val="1D88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2023-11-10T08:32:16Z</dcterms:created>
  <dc:creator>lenovo</dc:creator>
  <cp:lastModifiedBy>岳桐树</cp:lastModifiedBy>
  <dcterms:modified xsi:type="dcterms:W3CDTF">2023-11-10T08:33:20Z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72277B803B3243ED8B9E7F727BD8CA46_12</vt:lpwstr>
  </property>
</Properties>
</file>