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附件1</w:t>
      </w:r>
    </w:p>
    <w:p>
      <w:pPr>
        <w:spacing w:line="2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全域科普理论研究征文主题方向</w:t>
      </w:r>
    </w:p>
    <w:p>
      <w:pPr>
        <w:adjustRightInd w:val="0"/>
        <w:snapToGrid w:val="0"/>
        <w:spacing w:line="240" w:lineRule="exact"/>
        <w:ind w:firstLine="668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shd w:val="clear" w:color="auto" w:fill="FFFFFF"/>
        </w:rPr>
        <w:t>全域科普与社会主义现代化大都市建设的关系研究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1.全域科普与“四个善作善成”的关系、思考与实践；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全域科普赋能“十项行动”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的现状与对策；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3.全域科普促进科技创新、产业焕新、城市更新的实践与探索。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shd w:val="clear" w:color="auto" w:fill="FFFFFF"/>
        </w:rPr>
        <w:t>二、城市科普能力建设研究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1.全域科普发展战略、理念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 w:firstLineChars="0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2.全域科普供给侧改革（高质量科普服务体系、科技资源科普化、科普标准化、科技场馆科普服务能力、科普产业等）；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3.全域科普需求侧管理（受众调查、健康科普、生态环境科普、食品安全科普、应急科普、气象科普、地震科普等）；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4.科普活动的组织与策划（科普品牌建设、重大科普活动策划、科普活动成效等）；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大型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科普赛事的设计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运营的实践与探索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shd w:val="clear" w:color="auto" w:fill="FFFFFF"/>
        </w:rPr>
        <w:t>三、全地域覆盖实践研究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1.市、区、街道（乡镇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园区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）、社区（村）四级全域科普基层阵地建设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实践与探索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.基层科普行动计划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项目设计、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实施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与评价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.现代科技馆体系建设，科技类博物馆建设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现状与对策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.科普基地建设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现状与对策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（展览策划、活动策划、基地管理、人才培养、展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品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教具开发等）；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.市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区两级科普工作评价指标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思考与实践；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default" w:ascii="仿宋_GB2312" w:hAnsi="宋体" w:eastAsia="仿宋_GB2312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6.“乡村振兴”战略背景下农村地区科普、科技教育发展现状与对策。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shd w:val="clear" w:color="auto" w:fill="FFFFFF"/>
        </w:rPr>
        <w:t>四、全领域行动实践研究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1.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各纲要办成员单位（全域科普责任部门）、各科普工作联席会议成员单位的科普</w:t>
      </w:r>
      <w:r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  <w:lang w:eastAsia="zh-CN"/>
        </w:rPr>
        <w:t>工作体系、机制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实践与探索；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  <w:lang w:eastAsia="zh-CN"/>
        </w:rPr>
        <w:t>2.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围绕重大科技成果、科技前沿技术开展的科普活动、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科普教育，以及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打造的科普品牌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实施与评价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（科技创新、安全生产、生态环保、低碳减排、节约用水、防灾减灾、垃圾分类、食品安全、应急处置、生物安全等）；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.“双减”政策背景下做好青少年科技教育加法的思考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与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实践；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4.科技教育、科普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资源的整合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与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发展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5.跨学科科技教育活动的设计、实施与评价，青少年科技教育课程开发；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.科普产业发展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实践与探索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 xml:space="preserve"> （产业发展公共服务平台建设，产业联盟建设，产业园区、基地和孵化器、企业发展等）；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.全域科普公益服务体系建设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现状与对策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（公益基金设置、税收优惠政策制定、科普服务类社会组织建设等）；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default" w:ascii="仿宋_GB2312" w:hAnsi="宋体" w:eastAsia="仿宋_GB2312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8.学会、协会、研究会科普工作实践与探索；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.科普合作交流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实践与探索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（渠道建设、</w:t>
      </w:r>
      <w:r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</w:rPr>
        <w:t>东西部合作、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引智项目等）</w:t>
      </w:r>
      <w:r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  <w:lang w:eastAsia="zh-CN"/>
        </w:rPr>
        <w:t>.“科技小院”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  <w:lang w:eastAsia="zh-CN"/>
        </w:rPr>
        <w:t>建设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实践与探索。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shd w:val="clear" w:color="auto" w:fill="FFFFFF"/>
        </w:rPr>
        <w:t>五、全民参与共享实践研究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1.全域科普人才队伍建设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发展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科普大使、科普专家、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科普工作者、科普信息员、科技志愿者、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科技教师、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科技辅导员、科普媒体从业者等）；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2.面向青少年、产业工人、领导干部、农民、老年人开展的全域科普专项行动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实施与评价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default" w:ascii="仿宋_GB2312" w:hAnsi="宋体" w:eastAsia="仿宋_GB2312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3.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面向大中小幼的科普思政教育思考与实践。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shd w:val="clear" w:color="auto" w:fill="FFFFFF"/>
        </w:rPr>
        <w:t>六、全媒体传播实践研究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1.全域科普媒体栏目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实践与探索；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2.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全域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科普自媒体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账号运营实践与探索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（微信号、微博号、抖音号、科普中国号等）；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</w:rPr>
        <w:t>3.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全媒体传播品牌建设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实践与探索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（科普节目、影视作品、图书杂志等）；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</w:rPr>
        <w:t>4.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运用大数据、云计算、人工智能、区块链等信息技术手段开展精准科普宣传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实践与探索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</w:rPr>
        <w:t>5.科普影视作品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创作实践与探索</w:t>
      </w:r>
      <w:r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</w:rPr>
        <w:t>6.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科普视频</w:t>
      </w:r>
      <w:r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</w:rPr>
        <w:t>（长、中、短）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创作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实践与探索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B5CC35"/>
    <w:multiLevelType w:val="singleLevel"/>
    <w:tmpl w:val="F7B5CC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NmJmOWIyOTQ2ZWJlMDA1ZmRjYWIyM2UzNTZkMDgifQ=="/>
  </w:docVars>
  <w:rsids>
    <w:rsidRoot w:val="00000000"/>
    <w:rsid w:val="78B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2024-05-06T12:00:07Z</dcterms:created>
  <dc:creator>admin</dc:creator>
  <cp:lastModifiedBy>岳桐树</cp:lastModifiedBy>
  <dcterms:modified xsi:type="dcterms:W3CDTF">2024-05-06T12:00:13Z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210F274759D546099220DC3E49C1932D_12</vt:lpwstr>
  </property>
</Properties>
</file>