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91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38A1E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中国科技发展基金会“京津冀生命健康创新协同专项”</w:t>
      </w:r>
    </w:p>
    <w:p w14:paraId="42870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ascii="楷体" w:hAnsi="楷体" w:eastAsia="楷体"/>
          <w:sz w:val="32"/>
          <w:szCs w:val="32"/>
        </w:rPr>
      </w:pPr>
    </w:p>
    <w:p w14:paraId="6B198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firstLine="0" w:firstLineChars="0"/>
        <w:jc w:val="center"/>
        <w:textAlignment w:val="auto"/>
        <w:rPr>
          <w:rFonts w:hint="eastAsia" w:ascii="方正小标宋简体" w:hAnsi="Chaparral Pro" w:eastAsia="方正小标宋简体"/>
          <w:sz w:val="44"/>
          <w:szCs w:val="44"/>
        </w:rPr>
      </w:pPr>
      <w:r>
        <w:rPr>
          <w:rFonts w:hint="eastAsia" w:ascii="方正小标宋简体" w:hAnsi="Chaparral Pro" w:eastAsia="方正小标宋简体"/>
          <w:sz w:val="44"/>
          <w:szCs w:val="44"/>
        </w:rPr>
        <w:t>“科普津彩・药你同行”</w:t>
      </w:r>
    </w:p>
    <w:p w14:paraId="6D471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firstLine="0" w:firstLineChars="0"/>
        <w:jc w:val="center"/>
        <w:textAlignment w:val="auto"/>
        <w:rPr>
          <w:rFonts w:hint="eastAsia" w:ascii="方正小标宋简体" w:hAnsi="Chaparral Pro" w:eastAsia="方正小标宋简体"/>
          <w:sz w:val="44"/>
          <w:szCs w:val="44"/>
        </w:rPr>
      </w:pPr>
      <w:bookmarkStart w:id="0" w:name="_Hlk238447700"/>
      <w:r>
        <w:rPr>
          <w:rFonts w:hint="eastAsia" w:ascii="方正小标宋简体" w:hAnsi="Chaparral Pro" w:eastAsia="方正小标宋简体"/>
          <w:sz w:val="44"/>
          <w:szCs w:val="44"/>
        </w:rPr>
        <w:t>2026天津市医药健康科普大赛</w:t>
      </w:r>
      <w:bookmarkEnd w:id="0"/>
      <w:r>
        <w:rPr>
          <w:rFonts w:hint="eastAsia" w:ascii="方正小标宋简体" w:hAnsi="Chaparral Pro" w:eastAsia="方正小标宋简体"/>
          <w:sz w:val="44"/>
          <w:szCs w:val="44"/>
        </w:rPr>
        <w:t>实施方案</w:t>
      </w:r>
    </w:p>
    <w:p w14:paraId="22FE51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 w14:paraId="6C34ED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学习贯彻习近平总书记关于“科技创新、科学普及是实现创新发展的两翼，要把科学普及放在与科技创新同等重要的位置”的重要指示精神，落实国务院《全民科学素质行动规划纲要（2021—2035年）》、中办国办《关于新时代进一步加强科学技术普及工作的意见》和天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市委、市政府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关于《天津市推进全域科普向纵深发展提升全民科学素质规划纲要（2021—2035年）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》等</w:t>
      </w:r>
      <w:r>
        <w:rPr>
          <w:rFonts w:hint="eastAsia" w:ascii="仿宋_GB2312" w:hAnsi="仿宋_GB2312" w:eastAsia="仿宋_GB2312" w:cs="仿宋_GB2312"/>
          <w:sz w:val="32"/>
          <w:szCs w:val="32"/>
        </w:rPr>
        <w:t>部署要求，根据《中华人民共和国科学技术普及法》《天津市科学技术普及条例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》等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规定，天津市科学技术协会、天津市科学技术局、天津市卫生健康委员会、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天津市疾病预防控制局、</w:t>
      </w:r>
      <w:r>
        <w:rPr>
          <w:rFonts w:hint="eastAsia" w:ascii="仿宋_GB2312" w:hAnsi="仿宋_GB2312" w:eastAsia="仿宋_GB2312" w:cs="仿宋_GB2312"/>
          <w:sz w:val="32"/>
          <w:szCs w:val="32"/>
        </w:rPr>
        <w:t>天津市药品监督管理局共同举办2026天津市医药健康科普大赛，挖掘一批高质量安全用药科普作品，培育一支高素质医药健康科普人才队伍，普及科学用药知识，破除群众用药误区，为构建全社会共同参与医药健康科普的工作格局、推动优质科普资源下沉基层贡献力量，有效助力健康天津建设。</w:t>
      </w:r>
    </w:p>
    <w:p w14:paraId="73D8E0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一、活动主题</w:t>
      </w:r>
    </w:p>
    <w:p w14:paraId="79297C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科普津彩・药你同行</w:t>
      </w:r>
    </w:p>
    <w:p w14:paraId="695CD4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二、活动时间</w:t>
      </w:r>
    </w:p>
    <w:p w14:paraId="0870A1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月—10月</w:t>
      </w:r>
    </w:p>
    <w:p w14:paraId="33A898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三、组织机构</w:t>
      </w:r>
    </w:p>
    <w:p w14:paraId="3A367D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（一）主办单位</w:t>
      </w:r>
    </w:p>
    <w:p w14:paraId="54FC2D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天津市科学技术协会、天津市科学技术局、天津市卫生健康委员会、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天津市疾病预防控制局、</w:t>
      </w:r>
      <w:r>
        <w:rPr>
          <w:rFonts w:hint="eastAsia" w:ascii="仿宋_GB2312" w:hAnsi="仿宋_GB2312" w:eastAsia="仿宋_GB2312" w:cs="仿宋_GB2312"/>
          <w:sz w:val="32"/>
          <w:szCs w:val="32"/>
        </w:rPr>
        <w:t>天津市药品监督管理局</w:t>
      </w:r>
    </w:p>
    <w:p w14:paraId="2905B4E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支持</w:t>
      </w:r>
      <w:r>
        <w:rPr>
          <w:rFonts w:hint="eastAsia" w:ascii="楷体_GB2312" w:hAnsi="楷体_GB2312" w:eastAsia="楷体_GB2312" w:cs="楷体_GB2312"/>
          <w:sz w:val="32"/>
          <w:szCs w:val="32"/>
        </w:rPr>
        <w:t>单位</w:t>
      </w:r>
    </w:p>
    <w:p w14:paraId="1473714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中国科技发展基金会</w:t>
      </w:r>
    </w:p>
    <w:p w14:paraId="0F6B03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（三）承办单位</w:t>
      </w:r>
    </w:p>
    <w:p w14:paraId="413250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天津市科技发展基金会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、天津科学技术馆、天津市科技工作者服务中心</w:t>
      </w:r>
    </w:p>
    <w:p w14:paraId="39F49C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</w:rPr>
        <w:t>）组委会</w:t>
      </w:r>
    </w:p>
    <w:p w14:paraId="226350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主办、承办单位主要领导及相关工作人员组成，负责对大赛进行总体统筹、建立大赛组织工作领导机制、决议活动相关工作事项等。组委会办公室设在天津市科技发展基金会，由主办、承办及公益合作组织等单位相关人员组成，负责大赛日常工作的具体管理、组织和监督，并向组织委员会报告工作。</w:t>
      </w:r>
    </w:p>
    <w:p w14:paraId="38C257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（五）专家委员会</w:t>
      </w:r>
    </w:p>
    <w:p w14:paraId="5F54CF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由药学、临床医学、中医药、健康教育、科普教育领域权威专家组成，设主任1名、副主任2名；下设评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</w:t>
      </w:r>
      <w:r>
        <w:rPr>
          <w:rFonts w:hint="eastAsia" w:ascii="仿宋_GB2312" w:hAnsi="仿宋_GB2312" w:eastAsia="仿宋_GB2312" w:cs="仿宋_GB2312"/>
          <w:sz w:val="32"/>
          <w:szCs w:val="32"/>
        </w:rPr>
        <w:t>专家库，入库专家数量不少于各阶段评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</w:t>
      </w:r>
      <w:r>
        <w:rPr>
          <w:rFonts w:hint="eastAsia" w:ascii="仿宋_GB2312" w:hAnsi="仿宋_GB2312" w:eastAsia="仿宋_GB2312" w:cs="仿宋_GB2312"/>
          <w:sz w:val="32"/>
          <w:szCs w:val="32"/>
        </w:rPr>
        <w:t>需求2倍。负责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赛事规则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制定、作品科学性审核、各级赛事专业打分、科普成果应用指导。</w:t>
      </w:r>
    </w:p>
    <w:p w14:paraId="3621C0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四、活动对象</w:t>
      </w:r>
    </w:p>
    <w:p w14:paraId="0CDC8F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面向天津市高校、科研院所、医疗卫生机构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社会药房等从事医药护相关工作的专业技术人员，均可以个人或团队形式报名参赛。</w:t>
      </w:r>
    </w:p>
    <w:p w14:paraId="6D343F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___WRD_EMBED_SUB_46" w:eastAsia="仿宋_GB2312" w:cs="___WRD_EMBED_SUB_46"/>
          <w:sz w:val="32"/>
          <w:szCs w:val="32"/>
        </w:rPr>
      </w:pPr>
      <w:r>
        <w:rPr>
          <w:rFonts w:hint="eastAsia" w:ascii="仿宋_GB2312" w:hAnsi="___WRD_EMBED_SUB_46" w:eastAsia="仿宋_GB2312" w:cs="___WRD_EMBED_SUB_46"/>
          <w:sz w:val="32"/>
          <w:szCs w:val="32"/>
        </w:rPr>
        <w:t>参赛对象分为两类：</w:t>
      </w:r>
    </w:p>
    <w:p w14:paraId="4D4612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第一类为高校、科研院所。</w:t>
      </w:r>
    </w:p>
    <w:p w14:paraId="7839D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第二类为医疗卫生机构。</w:t>
      </w:r>
    </w:p>
    <w:p w14:paraId="03DC36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eastAsia="仿宋_GB2312"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活动</w:t>
      </w:r>
      <w:r>
        <w:rPr>
          <w:rFonts w:hint="eastAsia" w:ascii="Times New Roman" w:hAnsi="Times New Roman" w:eastAsia="黑体"/>
          <w:snapToGrid w:val="0"/>
          <w:kern w:val="0"/>
          <w:sz w:val="32"/>
          <w:szCs w:val="32"/>
        </w:rPr>
        <w:t>内容</w:t>
      </w:r>
    </w:p>
    <w:p w14:paraId="5C69A3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楷体_GB2312" w:eastAsia="楷体_GB2312"/>
          <w:snapToGrid w:val="0"/>
          <w:kern w:val="0"/>
          <w:sz w:val="32"/>
          <w:szCs w:val="32"/>
        </w:rPr>
      </w:pPr>
      <w:r>
        <w:rPr>
          <w:rFonts w:hint="eastAsia" w:ascii="楷体_GB2312" w:eastAsia="楷体_GB2312"/>
          <w:snapToGrid w:val="0"/>
          <w:kern w:val="0"/>
          <w:sz w:val="32"/>
          <w:szCs w:val="32"/>
        </w:rPr>
        <w:t>（一）主题范围</w:t>
      </w:r>
    </w:p>
    <w:p w14:paraId="72BD9A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参赛作品需紧扣“安全用药·合理用药”核心主线，突出科学性、严谨性、实用性与创新性。选题应聚焦于提升公众药学素养、促进药物合理使用。每位参赛者或参赛团队限报以下一类主题，聚焦对应方向开展科普创作。包括但不限于以下范围：</w:t>
      </w:r>
    </w:p>
    <w:p w14:paraId="507EBF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国家战略与公众健康：围绕《“健康中国2030”规划纲要》，健康中国行动中“健康知识普及行动”等专项行动，《中国公民健康素养——基本知识与技能（2024年版）》合理用药健康教育核心信息等，解读合理用药与全民健康的关系。</w:t>
      </w:r>
    </w:p>
    <w:p w14:paraId="6B3B42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2.特殊人群安全用药：聚焦老年人、儿童、孕产妇、肝肾功能不全者等特殊群体的生理特点与用药风险，普及个体化用药知识。</w:t>
      </w:r>
    </w:p>
    <w:p w14:paraId="514C92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3.慢性病与重大疾病用药管理：针对心血管疾病、糖尿病、肿瘤等慢性病及重大疾病，讲解长期用药管理、药物相互作用及不良反应监测等关键知识。</w:t>
      </w:r>
    </w:p>
    <w:p w14:paraId="2D1AD9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4.中医药的合理应用：普及中医药“治未病”理念及辨证论治原则，阐明中药（含中成药）的正确使用、禁忌及与西药的相互作用。</w:t>
      </w:r>
    </w:p>
    <w:p w14:paraId="0FF197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5.药品全生命周期安全：涵盖药品的正确储存、家庭药箱的科学管理、过期药品的规范处置，以及正确阅读药品说明书等基础但关键的用药安全环节。</w:t>
      </w:r>
    </w:p>
    <w:p w14:paraId="56B9DB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___WRD_EMBED_SUB_46" w:eastAsia="仿宋_GB2312" w:cs="___WRD_EMBED_SUB_46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6.药学前沿与误区澄清：介绍精准医疗、药物基因组学等前沿进展的科普意义，并对社会上流传的常见用药误区、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不良</w:t>
      </w:r>
      <w:r>
        <w:rPr>
          <w:rFonts w:hint="eastAsia" w:ascii="仿宋_GB2312" w:hAnsi="仿宋_GB2312" w:eastAsia="仿宋_GB2312" w:cs="仿宋_GB2312"/>
          <w:sz w:val="32"/>
          <w:szCs w:val="32"/>
        </w:rPr>
        <w:t>偏方、谣言进行科学辨析与澄清。</w:t>
      </w:r>
    </w:p>
    <w:p w14:paraId="6ABDFC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楷体_GB2312" w:eastAsia="楷体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snapToGrid w:val="0"/>
          <w:kern w:val="0"/>
          <w:sz w:val="32"/>
          <w:szCs w:val="32"/>
        </w:rPr>
        <w:t>（二）作品形式</w:t>
      </w:r>
    </w:p>
    <w:p w14:paraId="1062DEA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" w:cs="宋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参赛作品统一采用视频形式提交，视频时长：5分钟以内、不少于3分钟；视频文件统一采用MOV或MP4等格式，分辨率不低于1080P，横屏录制视频比例16:9，文件大小为200M以内。同时包括讲解词电子文档及辅助展示PPT。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作品风格不限，可采用多种拍摄、制作手段，包括但不限于口播类、剧情类、微短剧、 纪录片、MV等，鼓励科学脱口秀和表现科学内涵的创新形式。</w:t>
      </w:r>
    </w:p>
    <w:p w14:paraId="4879DD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楷体_GB2312" w:eastAsia="楷体_GB2312"/>
          <w:snapToGrid w:val="0"/>
          <w:kern w:val="0"/>
          <w:sz w:val="32"/>
          <w:szCs w:val="32"/>
        </w:rPr>
      </w:pPr>
      <w:r>
        <w:rPr>
          <w:rFonts w:hint="eastAsia" w:ascii="楷体_GB2312" w:eastAsia="楷体_GB2312"/>
          <w:snapToGrid w:val="0"/>
          <w:kern w:val="0"/>
          <w:sz w:val="32"/>
          <w:szCs w:val="32"/>
        </w:rPr>
        <w:t>（三）注意事项</w:t>
      </w:r>
    </w:p>
    <w:p w14:paraId="0CB306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___WRD_EMBED_SUB_46" w:eastAsia="仿宋_GB2312" w:cs="___WRD_EMBED_SUB_46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遵守法律法规。</w:t>
      </w:r>
      <w:r>
        <w:rPr>
          <w:rFonts w:hint="eastAsia" w:ascii="仿宋_GB2312" w:hAnsi="___WRD_EMBED_SUB_46" w:eastAsia="仿宋_GB2312" w:cs="___WRD_EMBED_SUB_46"/>
          <w:sz w:val="32"/>
          <w:szCs w:val="32"/>
        </w:rPr>
        <w:t>作品内容须符合《中华人民共和国药品管理法》《中华人民共和国广告法》《中华人民共和国科学技术普及法》等法律法规要求。</w:t>
      </w:r>
    </w:p>
    <w:p w14:paraId="6822EF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2.保</w:t>
      </w: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/>
        </w:rPr>
        <w:t>证</w:t>
      </w: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科学严谨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内容应限于作者本人专业领域范围，不得超出其专业资质与能力进行宣传或推广。作品引用的数据、结论、建议等核心信息，须源自国家卫生健康委、国家药品监督管理局等主管部门发布的官方信息、临床诊疗指南等权威来源。作者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作品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内容的科学性、真实性及合规性承担全部责任。</w:t>
      </w:r>
    </w:p>
    <w:p w14:paraId="705D4B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3.</w:t>
      </w:r>
      <w:r>
        <w:rPr>
          <w:rFonts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作品原创性要求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参赛作品须为原创，且未在市级及以上同类科普赛事或活动中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推广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。如作品曾在其他平台发表，参赛者须在报名时如实说明情况，由组委会审定其参赛资格。</w:t>
      </w:r>
    </w:p>
    <w:p w14:paraId="7E0B16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</w:rPr>
        <w:t>4.禁止商业推广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作品应保持公益属性，严禁出现任何形式的商业推广内容。包括但不限于：不得在作品（含口头表述、字幕、画面、背景、道具、服装等）中出现具体药品、医疗器械、保健品、特定医疗机构、商业平台等的品牌名称、特有包装、外观标识及可识别特征；不得以科普为名进行商业导流、产品推销、服务推广或变相植入广告。</w:t>
      </w:r>
    </w:p>
    <w:p w14:paraId="6FE8BD81">
      <w:pPr>
        <w:keepNext w:val="0"/>
        <w:keepLines w:val="0"/>
        <w:pageBreakBefore w:val="0"/>
        <w:tabs>
          <w:tab w:val="left" w:pos="426"/>
        </w:tabs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六、奖项设置</w:t>
      </w:r>
    </w:p>
    <w:p w14:paraId="1B45E7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所有参赛作品通过作品演示或现场答辩等形式确定比赛成绩，各项目原则上按照入围复赛作品数量的10%、20%和30%设置一、二、三等奖及若干优秀奖，具体获奖比例视参赛作品数量实际情况调整。</w:t>
      </w:r>
    </w:p>
    <w:p w14:paraId="6C1B79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七、进度安排</w:t>
      </w:r>
    </w:p>
    <w:p w14:paraId="004E77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2026天津市医药健康科普大赛按阶段有序推进，具体时间以官方通知为准。</w:t>
      </w:r>
    </w:p>
    <w:p w14:paraId="0F7386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" w:eastAsia="仿宋_GB2312" w:cs="宋体"/>
          <w:bCs/>
          <w:kern w:val="0"/>
          <w:sz w:val="32"/>
          <w:szCs w:val="32"/>
        </w:rPr>
      </w:pPr>
      <w:r>
        <w:rPr>
          <w:rFonts w:hint="eastAsia" w:ascii="楷体_GB2312" w:eastAsia="楷体_GB2312"/>
          <w:snapToGrid w:val="0"/>
          <w:kern w:val="0"/>
          <w:sz w:val="32"/>
          <w:szCs w:val="32"/>
        </w:rPr>
        <w:t>（一）动员阶段（</w:t>
      </w:r>
      <w:r>
        <w:rPr>
          <w:rFonts w:hint="eastAsia" w:ascii="楷体_GB2312" w:eastAsia="楷体_GB2312"/>
          <w:snapToGrid w:val="0"/>
          <w:kern w:val="0"/>
          <w:sz w:val="32"/>
          <w:szCs w:val="32"/>
          <w:lang w:val="en-US" w:eastAsia="zh-CN"/>
        </w:rPr>
        <w:t>9</w:t>
      </w:r>
      <w:r>
        <w:rPr>
          <w:rFonts w:hint="eastAsia" w:ascii="楷体_GB2312" w:eastAsia="楷体_GB2312"/>
          <w:snapToGrid w:val="0"/>
          <w:kern w:val="0"/>
          <w:sz w:val="32"/>
          <w:szCs w:val="32"/>
        </w:rPr>
        <w:t>月）</w:t>
      </w:r>
    </w:p>
    <w:p w14:paraId="36B33C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组委会通过官方渠道正式发布通知、活动安排及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赛事规则</w:t>
      </w:r>
      <w:r>
        <w:rPr>
          <w:rFonts w:hint="eastAsia" w:ascii="仿宋_GB2312" w:hAnsi="仿宋_GB2312" w:eastAsia="仿宋_GB2312" w:cs="仿宋_GB2312"/>
          <w:sz w:val="32"/>
          <w:szCs w:val="32"/>
        </w:rPr>
        <w:t>，组织召开启动会议，全面开展宣传动员工作。</w:t>
      </w:r>
    </w:p>
    <w:p w14:paraId="2529A7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楷体_GB2312" w:eastAsia="楷体_GB2312"/>
          <w:snapToGrid w:val="0"/>
          <w:kern w:val="0"/>
          <w:sz w:val="32"/>
          <w:szCs w:val="32"/>
        </w:rPr>
      </w:pPr>
      <w:r>
        <w:rPr>
          <w:rFonts w:hint="eastAsia" w:ascii="楷体_GB2312" w:eastAsia="楷体_GB2312"/>
          <w:snapToGrid w:val="0"/>
          <w:kern w:val="0"/>
          <w:sz w:val="32"/>
          <w:szCs w:val="32"/>
        </w:rPr>
        <w:t>（二）作品征集</w:t>
      </w:r>
      <w:r>
        <w:rPr>
          <w:rFonts w:hint="eastAsia" w:ascii="楷体_GB2312" w:eastAsia="楷体_GB2312"/>
          <w:snapToGrid w:val="0"/>
          <w:kern w:val="0"/>
          <w:sz w:val="32"/>
          <w:szCs w:val="32"/>
          <w:lang w:val="en-US" w:eastAsia="zh-CN"/>
        </w:rPr>
        <w:t>暨初赛</w:t>
      </w:r>
      <w:r>
        <w:rPr>
          <w:rFonts w:hint="eastAsia" w:ascii="楷体_GB2312" w:eastAsia="楷体_GB2312"/>
          <w:snapToGrid w:val="0"/>
          <w:kern w:val="0"/>
          <w:sz w:val="32"/>
          <w:szCs w:val="32"/>
        </w:rPr>
        <w:t>阶段（9月</w:t>
      </w:r>
      <w:r>
        <w:rPr>
          <w:rFonts w:hint="eastAsia" w:ascii="楷体_GB2312" w:eastAsia="楷体_GB2312"/>
          <w:snapToGrid w:val="0"/>
          <w:kern w:val="0"/>
          <w:sz w:val="32"/>
          <w:szCs w:val="32"/>
          <w:lang w:val="en-US" w:eastAsia="zh-CN"/>
        </w:rPr>
        <w:t>中旬至10月上旬</w:t>
      </w:r>
      <w:r>
        <w:rPr>
          <w:rFonts w:hint="eastAsia" w:ascii="楷体_GB2312" w:eastAsia="楷体_GB2312"/>
          <w:snapToGrid w:val="0"/>
          <w:kern w:val="0"/>
          <w:sz w:val="32"/>
          <w:szCs w:val="32"/>
        </w:rPr>
        <w:t>）</w:t>
      </w:r>
    </w:p>
    <w:p w14:paraId="13BD25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组织发动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开展大赛选拔和网上申报工作。开通活动报名与作品提交平台，接收各参赛个人及团队提交的作品资料。组委会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对参赛作品</w:t>
      </w:r>
      <w:r>
        <w:rPr>
          <w:rFonts w:hint="eastAsia" w:ascii="仿宋_GB2312" w:hAnsi="仿宋_GB2312" w:eastAsia="仿宋_GB2312" w:cs="仿宋_GB2312"/>
          <w:sz w:val="32"/>
          <w:szCs w:val="32"/>
        </w:rPr>
        <w:t>同步开展形式审查与资格核定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即初赛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入围复赛名单经大赛组委会进行资格审查后在信息发布网站公布。</w:t>
      </w:r>
    </w:p>
    <w:p w14:paraId="04E9C7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eastAsia="楷体_GB2312"/>
          <w:snapToGrid w:val="0"/>
          <w:kern w:val="0"/>
          <w:sz w:val="32"/>
          <w:szCs w:val="32"/>
        </w:rPr>
      </w:pPr>
      <w:r>
        <w:rPr>
          <w:rFonts w:hint="eastAsia" w:ascii="楷体_GB2312" w:eastAsia="楷体_GB2312"/>
          <w:snapToGrid w:val="0"/>
          <w:kern w:val="0"/>
          <w:sz w:val="32"/>
          <w:szCs w:val="32"/>
        </w:rPr>
        <w:t>（三）</w:t>
      </w:r>
      <w:r>
        <w:rPr>
          <w:rFonts w:hint="eastAsia" w:ascii="楷体_GB2312" w:eastAsia="楷体_GB2312"/>
          <w:snapToGrid w:val="0"/>
          <w:kern w:val="0"/>
          <w:sz w:val="32"/>
          <w:szCs w:val="32"/>
          <w:lang w:val="en-US" w:eastAsia="zh-CN"/>
        </w:rPr>
        <w:t>复赛和决赛</w:t>
      </w:r>
      <w:r>
        <w:rPr>
          <w:rFonts w:hint="eastAsia" w:ascii="楷体_GB2312" w:eastAsia="楷体_GB2312"/>
          <w:snapToGrid w:val="0"/>
          <w:kern w:val="0"/>
          <w:sz w:val="32"/>
          <w:szCs w:val="32"/>
        </w:rPr>
        <w:t>阶段（</w:t>
      </w:r>
      <w:r>
        <w:rPr>
          <w:rFonts w:hint="eastAsia" w:ascii="楷体_GB2312" w:eastAsia="楷体_GB2312"/>
          <w:snapToGrid w:val="0"/>
          <w:kern w:val="0"/>
          <w:sz w:val="32"/>
          <w:szCs w:val="32"/>
          <w:lang w:val="en-US" w:eastAsia="zh-CN"/>
        </w:rPr>
        <w:t>10</w:t>
      </w:r>
      <w:r>
        <w:rPr>
          <w:rFonts w:hint="eastAsia" w:ascii="楷体_GB2312" w:eastAsia="楷体_GB2312"/>
          <w:snapToGrid w:val="0"/>
          <w:kern w:val="0"/>
          <w:sz w:val="32"/>
          <w:szCs w:val="32"/>
        </w:rPr>
        <w:t>月</w:t>
      </w:r>
      <w:r>
        <w:rPr>
          <w:rFonts w:hint="eastAsia" w:ascii="楷体_GB2312" w:eastAsia="楷体_GB2312"/>
          <w:snapToGrid w:val="0"/>
          <w:kern w:val="0"/>
          <w:sz w:val="32"/>
          <w:szCs w:val="32"/>
          <w:lang w:val="en-US" w:eastAsia="zh-CN"/>
        </w:rPr>
        <w:t>中旬</w:t>
      </w:r>
      <w:r>
        <w:rPr>
          <w:rFonts w:hint="eastAsia" w:ascii="楷体_GB2312" w:eastAsia="楷体_GB2312"/>
          <w:snapToGrid w:val="0"/>
          <w:kern w:val="0"/>
          <w:sz w:val="32"/>
          <w:szCs w:val="32"/>
        </w:rPr>
        <w:t>－10</w:t>
      </w:r>
      <w:r>
        <w:rPr>
          <w:rFonts w:hint="eastAsia" w:ascii="楷体_GB2312" w:eastAsia="楷体_GB2312"/>
          <w:snapToGrid w:val="0"/>
          <w:kern w:val="0"/>
          <w:sz w:val="32"/>
          <w:szCs w:val="32"/>
          <w:lang w:val="en-US" w:eastAsia="zh-CN"/>
        </w:rPr>
        <w:t>月底</w:t>
      </w:r>
      <w:r>
        <w:rPr>
          <w:rFonts w:hint="eastAsia" w:ascii="楷体_GB2312" w:eastAsia="楷体_GB2312"/>
          <w:snapToGrid w:val="0"/>
          <w:kern w:val="0"/>
          <w:sz w:val="32"/>
          <w:szCs w:val="32"/>
        </w:rPr>
        <w:t>）</w:t>
      </w:r>
    </w:p>
    <w:p w14:paraId="50A94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Nimbus Roman No9 L" w:hAnsi="Nimbus Roman No9 L" w:eastAsia="仿宋_GB2312"/>
          <w:b/>
          <w:bCs/>
          <w:snapToGrid w:val="0"/>
          <w:kern w:val="0"/>
          <w:sz w:val="32"/>
          <w:szCs w:val="32"/>
        </w:rPr>
        <w:t>复赛</w:t>
      </w:r>
      <w:r>
        <w:rPr>
          <w:rFonts w:hint="eastAsia" w:ascii="Nimbus Roman No9 L" w:hAnsi="Nimbus Roman No9 L" w:eastAsia="仿宋_GB2312"/>
          <w:snapToGrid w:val="0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大赛主办方负责全市复赛组织工作。复赛为个人展示和自主命题讲解。组委会将根据进入复赛的选手情况进行分组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选手赛前抽签确定复赛上场顺序，进行个人展示和自主命题讲解。根据复赛成绩，选拔选手进入决赛。</w:t>
      </w:r>
    </w:p>
    <w:p w14:paraId="68529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bCs/>
          <w:snapToGrid w:val="0"/>
          <w:kern w:val="0"/>
          <w:sz w:val="32"/>
          <w:szCs w:val="32"/>
        </w:rPr>
        <w:t>决赛</w:t>
      </w:r>
      <w:r>
        <w:rPr>
          <w:rFonts w:hint="eastAsia" w:ascii="楷体_GB2312" w:eastAsia="楷体_GB2312"/>
          <w:snapToGrid w:val="0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决赛采用现场展演模式，由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天津</w:t>
      </w:r>
      <w:r>
        <w:rPr>
          <w:rFonts w:hint="eastAsia" w:ascii="仿宋_GB2312" w:hAnsi="仿宋_GB2312" w:eastAsia="仿宋_GB2312" w:cs="仿宋_GB2312"/>
          <w:sz w:val="32"/>
          <w:szCs w:val="32"/>
        </w:rPr>
        <w:t>科学技术馆承办，以作品演示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现场答辩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的方</w:t>
      </w:r>
      <w:r>
        <w:rPr>
          <w:rFonts w:hint="eastAsia" w:ascii="仿宋_GB2312" w:hAnsi="仿宋_GB2312" w:eastAsia="仿宋_GB2312" w:cs="仿宋_GB2312"/>
          <w:sz w:val="32"/>
          <w:szCs w:val="32"/>
        </w:rPr>
        <w:t>式开展比赛，现场公布分数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并在官方网站上公示决赛成绩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决赛具体时间、地点及组织形式将根据比赛安排另行通知。</w:t>
      </w:r>
    </w:p>
    <w:p w14:paraId="3DB6CA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eastAsia="楷体_GB2312" w:cs="Times New Roman"/>
          <w:snapToGrid w:val="0"/>
          <w:kern w:val="0"/>
          <w:sz w:val="32"/>
          <w:szCs w:val="32"/>
        </w:rPr>
      </w:pPr>
      <w:r>
        <w:rPr>
          <w:rFonts w:hint="eastAsia" w:ascii="楷体_GB2312" w:eastAsia="楷体_GB2312" w:cs="Times New Roman"/>
          <w:snapToGrid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eastAsia="楷体_GB2312" w:cs="Times New Roman"/>
          <w:snapToGrid w:val="0"/>
          <w:kern w:val="0"/>
          <w:sz w:val="32"/>
          <w:szCs w:val="32"/>
          <w:lang w:val="en-US" w:eastAsia="zh-CN"/>
        </w:rPr>
        <w:t>四）</w:t>
      </w:r>
      <w:r>
        <w:rPr>
          <w:rFonts w:hint="eastAsia" w:ascii="楷体_GB2312" w:eastAsia="楷体_GB2312" w:cs="Times New Roman"/>
          <w:snapToGrid w:val="0"/>
          <w:kern w:val="0"/>
          <w:sz w:val="32"/>
          <w:szCs w:val="32"/>
        </w:rPr>
        <w:t>作品展播</w:t>
      </w:r>
    </w:p>
    <w:p w14:paraId="73AF4A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比赛涌现出</w:t>
      </w:r>
      <w:r>
        <w:rPr>
          <w:rFonts w:hint="eastAsia" w:ascii="仿宋_GB2312" w:hAnsi="仿宋_GB2312" w:eastAsia="仿宋_GB2312" w:cs="仿宋_GB2312"/>
          <w:sz w:val="32"/>
          <w:szCs w:val="32"/>
        </w:rPr>
        <w:t>的优质科普资源将全部用于社会公益科普宣传，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</w:t>
      </w:r>
      <w:r>
        <w:rPr>
          <w:rFonts w:hint="eastAsia" w:ascii="仿宋_GB2312" w:hAnsi="仿宋_GB2312" w:eastAsia="仿宋_GB2312" w:cs="仿宋_GB2312"/>
          <w:sz w:val="32"/>
          <w:szCs w:val="32"/>
        </w:rPr>
        <w:t>过主流媒体平台、专业渠道及合作网络进行集中展播与推广，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服务人民群众生命健康，确保比赛的公益属性。组委会将积极</w:t>
      </w:r>
      <w:r>
        <w:rPr>
          <w:rFonts w:hint="eastAsia" w:ascii="仿宋_GB2312" w:hAnsi="仿宋_GB2312" w:eastAsia="仿宋_GB2312" w:cs="仿宋_GB2312"/>
          <w:sz w:val="32"/>
          <w:szCs w:val="32"/>
        </w:rPr>
        <w:t>向科普中国推荐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优秀作品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5FA1A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八、</w:t>
      </w:r>
      <w:r>
        <w:rPr>
          <w:rFonts w:hint="eastAsia" w:ascii="黑体" w:hAnsi="黑体" w:eastAsia="黑体" w:cs="黑体"/>
          <w:sz w:val="32"/>
          <w:szCs w:val="32"/>
        </w:rPr>
        <w:t>其他要求事项</w:t>
      </w:r>
    </w:p>
    <w:p w14:paraId="60D1CD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按要求提交参赛作品，认真填写《2026天津市医药健康科普大赛参赛报名表》（附件2）、《2026天津市医药健康科普大赛授权同意书》（附件3），连同参赛作品电子版一同发送至大赛组委会官方邮箱：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lang w:val="en-US" w:eastAsia="zh-CN"/>
        </w:rPr>
        <w:t>kjfzjjh@vip.163.com</w:t>
      </w:r>
      <w:r>
        <w:rPr>
          <w:rFonts w:hint="eastAsia" w:ascii="仿宋_GB2312" w:hAnsi="仿宋" w:eastAsia="仿宋_GB2312" w:cs="宋体"/>
          <w:bCs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作品征集截止时间为2026年10月9日。所有参赛报名材料按“参赛方向+选手姓名”方式命名文件夹，邮件以“医药健康大赛+单位名称”方式命名。选手报名表盖章需盖法人单位公章。</w:t>
      </w:r>
    </w:p>
    <w:p w14:paraId="17AD37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" w:eastAsia="仿宋_GB2312" w:cs="宋体"/>
          <w:bCs/>
          <w:kern w:val="0"/>
          <w:sz w:val="32"/>
          <w:szCs w:val="32"/>
          <w:lang w:val="en-US" w:eastAsia="zh-CN"/>
        </w:rPr>
        <w:t>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赛讲解语言须使用普通话，要求全程自行操作视频或PPT，讲解过程只能一人讲解，不得由他人协助。</w:t>
      </w:r>
    </w:p>
    <w:p w14:paraId="3B53E6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每位参赛选手最多可提交1至2件参赛作品。以团队形式参赛的作品，参赛选手不超过3人。</w:t>
      </w:r>
    </w:p>
    <w:p w14:paraId="457397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参赛讲解内容严禁抄袭照搬，不可使用他人已参赛使用过的稿件。</w:t>
      </w:r>
    </w:p>
    <w:p w14:paraId="488965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具体活动未尽事宜，由组委会另行通知。</w:t>
      </w:r>
    </w:p>
    <w:p w14:paraId="422F69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Cs/>
          <w:kern w:val="0"/>
          <w:sz w:val="32"/>
          <w:szCs w:val="32"/>
          <w:lang w:val="en-US" w:eastAsia="zh-CN"/>
        </w:rPr>
        <w:t>本实施方案由大赛组委会负责解释。</w:t>
      </w:r>
    </w:p>
    <w:p w14:paraId="0A4EF0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Cs/>
          <w:kern w:val="0"/>
          <w:sz w:val="32"/>
          <w:szCs w:val="32"/>
          <w:lang w:val="en-US" w:eastAsia="zh-CN"/>
        </w:rPr>
        <w:br w:type="page"/>
      </w:r>
    </w:p>
    <w:p w14:paraId="274BBC2D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0"/>
      </w:pPr>
      <w:r>
        <w:separator/>
      </w:r>
    </w:p>
  </w:endnote>
  <w:endnote w:type="continuationSeparator" w:id="1">
    <w:p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haparral Pro">
    <w:altName w:val="DejaVu Math TeX Gyre"/>
    <w:panose1 w:val="02060503040505020203"/>
    <w:charset w:val="00"/>
    <w:family w:val="roman"/>
    <w:pitch w:val="default"/>
    <w:sig w:usb0="00000000" w:usb1="00000000" w:usb2="00000000" w:usb3="00000000" w:csb0="20000093" w:csb1="00000000"/>
  </w:font>
  <w:font w:name="___WRD_EMBED_SUB_46">
    <w:altName w:val="Noto Sans SC Thin"/>
    <w:panose1 w:val="02000000000000000000"/>
    <w:charset w:val="00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0"/>
      </w:pPr>
      <w:r>
        <w:separator/>
      </w:r>
    </w:p>
  </w:footnote>
  <w:footnote w:type="continuationSeparator" w:id="1">
    <w:p>
      <w:pPr>
        <w:ind w:firstLine="60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D31676"/>
    <w:multiLevelType w:val="singleLevel"/>
    <w:tmpl w:val="7BD3167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B1706"/>
    <w:rsid w:val="18F57752"/>
    <w:rsid w:val="19C65EE9"/>
    <w:rsid w:val="21741654"/>
    <w:rsid w:val="2A5C07D8"/>
    <w:rsid w:val="3F715648"/>
    <w:rsid w:val="3FB90E32"/>
    <w:rsid w:val="42D17742"/>
    <w:rsid w:val="42D53FC6"/>
    <w:rsid w:val="43432C09"/>
    <w:rsid w:val="618E18F9"/>
    <w:rsid w:val="6E26787F"/>
    <w:rsid w:val="6E4048C1"/>
    <w:rsid w:val="6E476C9B"/>
    <w:rsid w:val="72C1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1"/>
    </w:pPr>
    <w:rPr>
      <w:rFonts w:ascii="Arial" w:hAnsi="Arial" w:eastAsia="楷体_GB2312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jc w:val="left"/>
      <w:outlineLvl w:val="2"/>
    </w:pPr>
    <w:rPr>
      <w:rFonts w:eastAsia="黑体" w:asciiTheme="minorAscii" w:hAnsiTheme="minorAscii" w:cstheme="minorBidi"/>
      <w:kern w:val="2"/>
      <w:sz w:val="32"/>
      <w:lang w:eastAsia="zh-CN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3"/>
    </w:pPr>
    <w:rPr>
      <w:rFonts w:ascii="Arial" w:hAnsi="Arial" w:eastAsia="楷体_GB2312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Body Text First Indent 2"/>
    <w:basedOn w:val="6"/>
    <w:qFormat/>
    <w:uiPriority w:val="0"/>
    <w:pPr>
      <w:ind w:firstLine="420"/>
    </w:pPr>
  </w:style>
  <w:style w:type="paragraph" w:customStyle="1" w:styleId="10">
    <w:name w:val="一级标题"/>
    <w:basedOn w:val="1"/>
    <w:next w:val="1"/>
    <w:qFormat/>
    <w:uiPriority w:val="0"/>
    <w:pPr>
      <w:keepNext/>
      <w:keepLines/>
      <w:spacing w:before="260" w:beforeLines="0" w:after="260" w:afterLines="0" w:line="413" w:lineRule="auto"/>
      <w:ind w:firstLine="880" w:firstLineChars="200"/>
      <w:jc w:val="left"/>
      <w:outlineLvl w:val="2"/>
    </w:pPr>
    <w:rPr>
      <w:rFonts w:hint="eastAsia" w:ascii="Calibri" w:hAnsi="Calibri"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2024-08-01T02:11:00Z</dcterms:created>
  <dc:creator>Administrator</dc:creator>
  <cp:lastModifiedBy>岳桐树</cp:lastModifiedBy>
  <dcterms:modified xsi:type="dcterms:W3CDTF">2026-09-08T00:52:23Z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571A38DDD4584C94A13340C74109CE7B_12</vt:lpwstr>
  </property>
</Properties>
</file>