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F8" w:rsidRDefault="005C4CD7">
      <w:pPr>
        <w:jc w:val="center"/>
      </w:pPr>
      <w:r>
        <w:rPr>
          <w:rFonts w:asciiTheme="minorEastAsia" w:eastAsiaTheme="minorEastAsia" w:hAnsiTheme="minorEastAsia" w:hint="eastAsia"/>
          <w:lang w:eastAsia="zh-CN"/>
        </w:rPr>
        <w:t xml:space="preserve"> </w:t>
      </w:r>
    </w:p>
    <w:p w:rsidR="00324EF8" w:rsidRDefault="00324EF8">
      <w:pPr>
        <w:jc w:val="center"/>
      </w:pPr>
    </w:p>
    <w:p w:rsidR="00324EF8" w:rsidRDefault="00324EF8">
      <w:pPr>
        <w:jc w:val="center"/>
      </w:pPr>
    </w:p>
    <w:p w:rsidR="00324EF8" w:rsidRDefault="0075408B">
      <w:pPr>
        <w:jc w:val="center"/>
      </w:pPr>
      <w:r w:rsidRPr="005C4CD7">
        <w:rPr>
          <w:rFonts w:ascii="方正小标宋简体" w:eastAsia="方正小标宋简体" w:hAnsi="方正小标宋_GBK" w:cs="方正小标宋_GBK"/>
          <w:sz w:val="56"/>
          <w:szCs w:val="56"/>
        </w:rPr>
        <w:t>天津科学技术馆</w:t>
      </w:r>
    </w:p>
    <w:p w:rsidR="005C4CD7" w:rsidRPr="00EC70EA" w:rsidRDefault="005C4CD7" w:rsidP="005C4CD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5C4CD7" w:rsidRPr="00EC70EA" w:rsidRDefault="005C4CD7" w:rsidP="005C4CD7">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324EF8" w:rsidRPr="005C4CD7"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pPr>
    </w:p>
    <w:p w:rsidR="00324EF8" w:rsidRDefault="00324EF8">
      <w:pPr>
        <w:jc w:val="center"/>
        <w:sectPr w:rsidR="00324EF8">
          <w:headerReference w:type="even" r:id="rId21"/>
          <w:headerReference w:type="default" r:id="rId22"/>
          <w:footerReference w:type="even" r:id="rId23"/>
          <w:footerReference w:type="default" r:id="rId24"/>
          <w:headerReference w:type="first" r:id="rId25"/>
          <w:footerReference w:type="first" r:id="rId26"/>
          <w:pgSz w:w="11900" w:h="16840"/>
          <w:pgMar w:top="1984" w:right="1304" w:bottom="1134" w:left="1304" w:header="720" w:footer="720" w:gutter="0"/>
          <w:cols w:space="720"/>
          <w:titlePg/>
        </w:sectPr>
      </w:pPr>
    </w:p>
    <w:p w:rsidR="00324EF8" w:rsidRDefault="00324EF8">
      <w:pPr>
        <w:jc w:val="center"/>
      </w:pPr>
    </w:p>
    <w:p w:rsidR="00324EF8" w:rsidRDefault="0075408B">
      <w:pPr>
        <w:jc w:val="center"/>
        <w:outlineLvl w:val="0"/>
      </w:pPr>
      <w:r>
        <w:rPr>
          <w:rFonts w:ascii="方正小标宋_GBK" w:eastAsia="方正小标宋_GBK" w:hAnsi="方正小标宋_GBK" w:cs="方正小标宋_GBK"/>
          <w:sz w:val="36"/>
        </w:rPr>
        <w:t>目    录</w:t>
      </w:r>
    </w:p>
    <w:p w:rsidR="00324EF8" w:rsidRDefault="00324EF8">
      <w:pPr>
        <w:jc w:val="center"/>
      </w:pPr>
    </w:p>
    <w:p w:rsidR="00324EF8" w:rsidRDefault="00522618">
      <w:pPr>
        <w:pStyle w:val="TOC1"/>
        <w:tabs>
          <w:tab w:val="right" w:leader="dot" w:pos="9282"/>
        </w:tabs>
      </w:pPr>
      <w:r w:rsidRPr="00522618">
        <w:fldChar w:fldCharType="begin"/>
      </w:r>
      <w:r w:rsidR="0075408B">
        <w:instrText>TOC \o "4-4" \h \z \u</w:instrText>
      </w:r>
      <w:r w:rsidRPr="00522618">
        <w:fldChar w:fldCharType="separate"/>
      </w:r>
      <w:hyperlink w:anchor="_Toc_4_4_0000000004" w:history="1">
        <w:r w:rsidR="0075408B">
          <w:t>1.2025</w:t>
        </w:r>
        <w:r w:rsidR="0075408B">
          <w:t>年天津科技馆非财政拨款项目绩效目标表</w:t>
        </w:r>
      </w:hyperlink>
    </w:p>
    <w:p w:rsidR="00324EF8" w:rsidRDefault="00522618">
      <w:pPr>
        <w:pStyle w:val="TOC1"/>
        <w:tabs>
          <w:tab w:val="right" w:leader="dot" w:pos="9282"/>
        </w:tabs>
      </w:pPr>
      <w:hyperlink w:anchor="_Toc_4_4_0000000005" w:history="1">
        <w:r w:rsidR="0075408B">
          <w:t>2.2025</w:t>
        </w:r>
        <w:r w:rsidR="0075408B">
          <w:t>年天津科学技术馆履职保障经费项目绩效目标表</w:t>
        </w:r>
      </w:hyperlink>
    </w:p>
    <w:p w:rsidR="00324EF8" w:rsidRDefault="00522618">
      <w:pPr>
        <w:pStyle w:val="TOC1"/>
        <w:tabs>
          <w:tab w:val="right" w:leader="dot" w:pos="9282"/>
        </w:tabs>
      </w:pPr>
      <w:hyperlink w:anchor="_Toc_4_4_0000000006" w:history="1">
        <w:r w:rsidR="0075408B">
          <w:t>3.2025</w:t>
        </w:r>
        <w:r w:rsidR="0075408B">
          <w:t>年天津科学技术馆免费开放项目</w:t>
        </w:r>
        <w:r w:rsidR="0075408B">
          <w:t>-</w:t>
        </w:r>
        <w:r w:rsidR="0075408B">
          <w:t>中央绩效目标表</w:t>
        </w:r>
      </w:hyperlink>
    </w:p>
    <w:p w:rsidR="00324EF8" w:rsidRDefault="00522618">
      <w:pPr>
        <w:pStyle w:val="TOC1"/>
        <w:tabs>
          <w:tab w:val="right" w:leader="dot" w:pos="9282"/>
        </w:tabs>
      </w:pPr>
      <w:hyperlink w:anchor="_Toc_4_4_0000000007" w:history="1">
        <w:r w:rsidR="0075408B">
          <w:t>4.2025</w:t>
        </w:r>
        <w:r w:rsidR="0075408B">
          <w:t>年天津科学技术馆运行保障项目绩效目标表</w:t>
        </w:r>
      </w:hyperlink>
    </w:p>
    <w:p w:rsidR="00324EF8" w:rsidRDefault="00522618">
      <w:pPr>
        <w:pStyle w:val="TOC1"/>
        <w:tabs>
          <w:tab w:val="right" w:leader="dot" w:pos="9282"/>
        </w:tabs>
      </w:pPr>
      <w:hyperlink w:anchor="_Toc_4_4_0000000008" w:history="1">
        <w:r w:rsidR="0075408B">
          <w:t>5.</w:t>
        </w:r>
        <w:r w:rsidR="0075408B">
          <w:t>天津科学技术馆球幕影院提升改造绩效目标表</w:t>
        </w:r>
      </w:hyperlink>
    </w:p>
    <w:p w:rsidR="00324EF8" w:rsidRDefault="00522618">
      <w:pPr>
        <w:sectPr w:rsidR="00324EF8">
          <w:footerReference w:type="even" r:id="rId27"/>
          <w:footerReference w:type="default" r:id="rId28"/>
          <w:pgSz w:w="11900" w:h="16840"/>
          <w:pgMar w:top="1984" w:right="1304" w:bottom="1134" w:left="1304" w:header="720" w:footer="720" w:gutter="0"/>
          <w:pgNumType w:start="1"/>
          <w:cols w:space="720"/>
        </w:sectPr>
      </w:pPr>
      <w:r>
        <w:fldChar w:fldCharType="end"/>
      </w:r>
    </w:p>
    <w:p w:rsidR="00324EF8" w:rsidRDefault="0075408B">
      <w:pPr>
        <w:ind w:firstLine="560"/>
        <w:outlineLvl w:val="3"/>
      </w:pPr>
      <w:bookmarkStart w:id="0" w:name="_Toc_4_4_0000000004"/>
      <w:r>
        <w:rPr>
          <w:rFonts w:ascii="方正仿宋_GBK" w:eastAsia="方正仿宋_GBK" w:hAnsi="方正仿宋_GBK" w:cs="方正仿宋_GBK"/>
          <w:sz w:val="28"/>
        </w:rPr>
        <w:lastRenderedPageBreak/>
        <w:t>1.2025年天津科技馆非财政拨款项目绩效目标表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rsidP="008C5803">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2025年天津科技馆非财政拨款项目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1420.00</w:t>
            </w:r>
          </w:p>
        </w:tc>
        <w:tc>
          <w:tcPr>
            <w:tcW w:w="1587" w:type="dxa"/>
            <w:vAlign w:val="center"/>
          </w:tcPr>
          <w:p w:rsidR="00324EF8" w:rsidRDefault="0075408B">
            <w:pPr>
              <w:pStyle w:val="1"/>
            </w:pPr>
            <w:r>
              <w:t>其中：财政    资金</w:t>
            </w:r>
          </w:p>
        </w:tc>
        <w:tc>
          <w:tcPr>
            <w:tcW w:w="1843" w:type="dxa"/>
            <w:vAlign w:val="center"/>
          </w:tcPr>
          <w:p w:rsidR="00324EF8" w:rsidRDefault="00324EF8">
            <w:pPr>
              <w:pStyle w:val="2"/>
            </w:pPr>
          </w:p>
        </w:tc>
        <w:tc>
          <w:tcPr>
            <w:tcW w:w="1276" w:type="dxa"/>
            <w:vAlign w:val="center"/>
          </w:tcPr>
          <w:p w:rsidR="00324EF8" w:rsidRDefault="0075408B">
            <w:pPr>
              <w:pStyle w:val="1"/>
            </w:pPr>
            <w:r>
              <w:t>其他资金</w:t>
            </w:r>
          </w:p>
        </w:tc>
        <w:tc>
          <w:tcPr>
            <w:tcW w:w="1276" w:type="dxa"/>
            <w:vAlign w:val="center"/>
          </w:tcPr>
          <w:p w:rsidR="00324EF8" w:rsidRDefault="0075408B">
            <w:pPr>
              <w:pStyle w:val="2"/>
            </w:pPr>
            <w:r>
              <w:t>1420.00</w:t>
            </w: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非财专项资金支出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1.开展科学教育、竞赛活动、基地建设、科技辅导员培训等活动20项以上，强化高质量科普供给、提供优质科普服务，覆盖人数不少于200万人次，推进基层公共服务均等化，提高全民科学素养。</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开展科普活动数量</w:t>
            </w:r>
          </w:p>
        </w:tc>
        <w:tc>
          <w:tcPr>
            <w:tcW w:w="3430" w:type="dxa"/>
            <w:vAlign w:val="center"/>
          </w:tcPr>
          <w:p w:rsidR="00324EF8" w:rsidRDefault="0075408B">
            <w:pPr>
              <w:pStyle w:val="2"/>
            </w:pPr>
            <w:r>
              <w:t>开展科普活动数量</w:t>
            </w:r>
          </w:p>
        </w:tc>
        <w:tc>
          <w:tcPr>
            <w:tcW w:w="2551" w:type="dxa"/>
            <w:vAlign w:val="center"/>
          </w:tcPr>
          <w:p w:rsidR="00324EF8" w:rsidRDefault="0075408B">
            <w:pPr>
              <w:pStyle w:val="2"/>
            </w:pPr>
            <w:r>
              <w:t>≥20项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举办活动完成率</w:t>
            </w:r>
          </w:p>
        </w:tc>
        <w:tc>
          <w:tcPr>
            <w:tcW w:w="3430" w:type="dxa"/>
            <w:vAlign w:val="center"/>
          </w:tcPr>
          <w:p w:rsidR="00324EF8" w:rsidRDefault="0075408B">
            <w:pPr>
              <w:pStyle w:val="2"/>
            </w:pPr>
            <w:r>
              <w:t>举办活动完成率</w:t>
            </w:r>
          </w:p>
        </w:tc>
        <w:tc>
          <w:tcPr>
            <w:tcW w:w="2551" w:type="dxa"/>
            <w:vAlign w:val="center"/>
          </w:tcPr>
          <w:p w:rsidR="00324EF8" w:rsidRDefault="0075408B">
            <w:pPr>
              <w:pStyle w:val="2"/>
            </w:pPr>
            <w:r>
              <w:t>≥100百分比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按计划实施率</w:t>
            </w:r>
          </w:p>
        </w:tc>
        <w:tc>
          <w:tcPr>
            <w:tcW w:w="3430" w:type="dxa"/>
            <w:vAlign w:val="center"/>
          </w:tcPr>
          <w:p w:rsidR="00324EF8" w:rsidRDefault="0075408B">
            <w:pPr>
              <w:pStyle w:val="2"/>
            </w:pPr>
            <w:r>
              <w:t>按计划实施率</w:t>
            </w:r>
          </w:p>
        </w:tc>
        <w:tc>
          <w:tcPr>
            <w:tcW w:w="2551" w:type="dxa"/>
            <w:vAlign w:val="center"/>
          </w:tcPr>
          <w:p w:rsidR="00324EF8" w:rsidRDefault="0075408B">
            <w:pPr>
              <w:pStyle w:val="2"/>
            </w:pPr>
            <w:r>
              <w:t>≥90百分比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科普宣传类费用支出</w:t>
            </w:r>
          </w:p>
        </w:tc>
        <w:tc>
          <w:tcPr>
            <w:tcW w:w="3430" w:type="dxa"/>
            <w:vAlign w:val="center"/>
          </w:tcPr>
          <w:p w:rsidR="00324EF8" w:rsidRDefault="0075408B">
            <w:pPr>
              <w:pStyle w:val="2"/>
            </w:pPr>
            <w:r>
              <w:t>科普宣传类费用支出</w:t>
            </w:r>
          </w:p>
        </w:tc>
        <w:tc>
          <w:tcPr>
            <w:tcW w:w="2551" w:type="dxa"/>
            <w:vAlign w:val="center"/>
          </w:tcPr>
          <w:p w:rsidR="00324EF8" w:rsidRDefault="0075408B">
            <w:pPr>
              <w:pStyle w:val="2"/>
            </w:pPr>
            <w:r>
              <w:t>≤135万元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科学教育普及活动类费用支出</w:t>
            </w:r>
          </w:p>
        </w:tc>
        <w:tc>
          <w:tcPr>
            <w:tcW w:w="3430" w:type="dxa"/>
            <w:vAlign w:val="center"/>
          </w:tcPr>
          <w:p w:rsidR="00324EF8" w:rsidRDefault="0075408B">
            <w:pPr>
              <w:pStyle w:val="2"/>
            </w:pPr>
            <w:r>
              <w:t>科学教育普及活动类费用支出</w:t>
            </w:r>
          </w:p>
        </w:tc>
        <w:tc>
          <w:tcPr>
            <w:tcW w:w="2551" w:type="dxa"/>
            <w:vAlign w:val="center"/>
          </w:tcPr>
          <w:p w:rsidR="00324EF8" w:rsidRDefault="0075408B">
            <w:pPr>
              <w:pStyle w:val="2"/>
            </w:pPr>
            <w:r>
              <w:t>≤985万元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科创服务类费用支出</w:t>
            </w:r>
          </w:p>
        </w:tc>
        <w:tc>
          <w:tcPr>
            <w:tcW w:w="3430" w:type="dxa"/>
            <w:vAlign w:val="center"/>
          </w:tcPr>
          <w:p w:rsidR="00324EF8" w:rsidRDefault="0075408B">
            <w:pPr>
              <w:pStyle w:val="2"/>
            </w:pPr>
            <w:r>
              <w:t>科创服务类费用支出</w:t>
            </w:r>
          </w:p>
        </w:tc>
        <w:tc>
          <w:tcPr>
            <w:tcW w:w="2551" w:type="dxa"/>
            <w:vAlign w:val="center"/>
          </w:tcPr>
          <w:p w:rsidR="00324EF8" w:rsidRDefault="0075408B">
            <w:pPr>
              <w:pStyle w:val="2"/>
            </w:pPr>
            <w:r>
              <w:t>≤80万元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以前年度非财项目结转费用支出</w:t>
            </w:r>
          </w:p>
        </w:tc>
        <w:tc>
          <w:tcPr>
            <w:tcW w:w="3430" w:type="dxa"/>
            <w:vAlign w:val="center"/>
          </w:tcPr>
          <w:p w:rsidR="00324EF8" w:rsidRDefault="0075408B">
            <w:pPr>
              <w:pStyle w:val="2"/>
            </w:pPr>
            <w:r>
              <w:t>以前年度非财项目结转费用支出</w:t>
            </w:r>
          </w:p>
        </w:tc>
        <w:tc>
          <w:tcPr>
            <w:tcW w:w="2551" w:type="dxa"/>
            <w:vAlign w:val="center"/>
          </w:tcPr>
          <w:p w:rsidR="00324EF8" w:rsidRDefault="0075408B">
            <w:pPr>
              <w:pStyle w:val="2"/>
            </w:pPr>
            <w:r>
              <w:t>≤220万元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受众人数</w:t>
            </w:r>
          </w:p>
        </w:tc>
        <w:tc>
          <w:tcPr>
            <w:tcW w:w="3430" w:type="dxa"/>
            <w:vAlign w:val="center"/>
          </w:tcPr>
          <w:p w:rsidR="00324EF8" w:rsidRDefault="0075408B">
            <w:pPr>
              <w:pStyle w:val="2"/>
            </w:pPr>
            <w:r>
              <w:t>受众人数</w:t>
            </w:r>
          </w:p>
        </w:tc>
        <w:tc>
          <w:tcPr>
            <w:tcW w:w="2551" w:type="dxa"/>
            <w:vAlign w:val="center"/>
          </w:tcPr>
          <w:p w:rsidR="00324EF8" w:rsidRDefault="0075408B">
            <w:pPr>
              <w:pStyle w:val="2"/>
            </w:pPr>
            <w:r>
              <w:t>≥200万人次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提供优质科普资源、服务、推进基层公共服务均等化完成率</w:t>
            </w:r>
          </w:p>
        </w:tc>
        <w:tc>
          <w:tcPr>
            <w:tcW w:w="3430" w:type="dxa"/>
            <w:vAlign w:val="center"/>
          </w:tcPr>
          <w:p w:rsidR="00324EF8" w:rsidRDefault="0075408B">
            <w:pPr>
              <w:pStyle w:val="2"/>
            </w:pPr>
            <w:r>
              <w:t>可持续发挥作用</w:t>
            </w:r>
          </w:p>
        </w:tc>
        <w:tc>
          <w:tcPr>
            <w:tcW w:w="2551" w:type="dxa"/>
            <w:vAlign w:val="center"/>
          </w:tcPr>
          <w:p w:rsidR="00324EF8" w:rsidRDefault="0075408B">
            <w:pPr>
              <w:pStyle w:val="2"/>
            </w:pPr>
            <w:r>
              <w:t>≥90百分比</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公众满意度</w:t>
            </w:r>
          </w:p>
        </w:tc>
        <w:tc>
          <w:tcPr>
            <w:tcW w:w="3430" w:type="dxa"/>
            <w:vAlign w:val="center"/>
          </w:tcPr>
          <w:p w:rsidR="00324EF8" w:rsidRDefault="0075408B">
            <w:pPr>
              <w:pStyle w:val="2"/>
            </w:pPr>
            <w:r>
              <w:t>公众满意度</w:t>
            </w:r>
          </w:p>
        </w:tc>
        <w:tc>
          <w:tcPr>
            <w:tcW w:w="2551" w:type="dxa"/>
            <w:vAlign w:val="center"/>
          </w:tcPr>
          <w:p w:rsidR="00324EF8" w:rsidRDefault="0075408B">
            <w:pPr>
              <w:pStyle w:val="2"/>
            </w:pPr>
            <w:r>
              <w:t>≥90百分比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1" w:name="_Toc_4_4_0000000005"/>
      <w:r>
        <w:rPr>
          <w:rFonts w:ascii="方正仿宋_GBK" w:eastAsia="方正仿宋_GBK" w:hAnsi="方正仿宋_GBK" w:cs="方正仿宋_GBK"/>
          <w:sz w:val="28"/>
        </w:rPr>
        <w:t>2.2025年天津科学技术馆履职保障经费项目绩效目标表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rsidP="008C5803">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2025年天津科学技术馆履职保障经费项目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156.50</w:t>
            </w:r>
          </w:p>
        </w:tc>
        <w:tc>
          <w:tcPr>
            <w:tcW w:w="1587" w:type="dxa"/>
            <w:vAlign w:val="center"/>
          </w:tcPr>
          <w:p w:rsidR="00324EF8" w:rsidRDefault="0075408B">
            <w:pPr>
              <w:pStyle w:val="1"/>
            </w:pPr>
            <w:r>
              <w:t>其中：财政    资金</w:t>
            </w:r>
          </w:p>
        </w:tc>
        <w:tc>
          <w:tcPr>
            <w:tcW w:w="1843" w:type="dxa"/>
            <w:vAlign w:val="center"/>
          </w:tcPr>
          <w:p w:rsidR="00324EF8" w:rsidRDefault="0075408B">
            <w:pPr>
              <w:pStyle w:val="2"/>
            </w:pPr>
            <w:r>
              <w:t>156.50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编外长聘人员相关费用支出。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1.通过聘用编制外长聘人员，补充科技馆工作人员力量，保障科技馆正常运行，提高公益服务水平。</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编制外长聘人员数量</w:t>
            </w:r>
          </w:p>
        </w:tc>
        <w:tc>
          <w:tcPr>
            <w:tcW w:w="3430" w:type="dxa"/>
            <w:vAlign w:val="center"/>
          </w:tcPr>
          <w:p w:rsidR="00324EF8" w:rsidRDefault="0075408B">
            <w:pPr>
              <w:pStyle w:val="2"/>
            </w:pPr>
            <w:r>
              <w:t>编制外长聘人员数量</w:t>
            </w:r>
          </w:p>
        </w:tc>
        <w:tc>
          <w:tcPr>
            <w:tcW w:w="2551" w:type="dxa"/>
            <w:vAlign w:val="center"/>
          </w:tcPr>
          <w:p w:rsidR="00324EF8" w:rsidRDefault="0075408B">
            <w:pPr>
              <w:pStyle w:val="2"/>
            </w:pPr>
            <w:r>
              <w:t>≥13人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编外长聘人员工作考核合格率</w:t>
            </w:r>
          </w:p>
        </w:tc>
        <w:tc>
          <w:tcPr>
            <w:tcW w:w="3430" w:type="dxa"/>
            <w:vAlign w:val="center"/>
          </w:tcPr>
          <w:p w:rsidR="00324EF8" w:rsidRDefault="0075408B">
            <w:pPr>
              <w:pStyle w:val="2"/>
            </w:pPr>
            <w:r>
              <w:t>编外长聘人员工作考核合格情况</w:t>
            </w:r>
          </w:p>
        </w:tc>
        <w:tc>
          <w:tcPr>
            <w:tcW w:w="2551" w:type="dxa"/>
            <w:vAlign w:val="center"/>
          </w:tcPr>
          <w:p w:rsidR="00324EF8" w:rsidRDefault="0075408B">
            <w:pPr>
              <w:pStyle w:val="2"/>
            </w:pPr>
            <w:r>
              <w:t>≥90百分比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编外长聘人员工资发放、社保及公积金缴纳及时率</w:t>
            </w:r>
          </w:p>
        </w:tc>
        <w:tc>
          <w:tcPr>
            <w:tcW w:w="3430" w:type="dxa"/>
            <w:vAlign w:val="center"/>
          </w:tcPr>
          <w:p w:rsidR="00324EF8" w:rsidRDefault="0075408B">
            <w:pPr>
              <w:pStyle w:val="2"/>
            </w:pPr>
            <w:r>
              <w:t>编外长聘人员工资发放、社保及公积金缴纳及时率</w:t>
            </w:r>
          </w:p>
        </w:tc>
        <w:tc>
          <w:tcPr>
            <w:tcW w:w="2551" w:type="dxa"/>
            <w:vAlign w:val="center"/>
          </w:tcPr>
          <w:p w:rsidR="00324EF8" w:rsidRDefault="0075408B">
            <w:pPr>
              <w:pStyle w:val="2"/>
            </w:pPr>
            <w:r>
              <w:t>100百分比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编外长聘人员经费支出</w:t>
            </w:r>
          </w:p>
        </w:tc>
        <w:tc>
          <w:tcPr>
            <w:tcW w:w="3430" w:type="dxa"/>
            <w:vAlign w:val="center"/>
          </w:tcPr>
          <w:p w:rsidR="00324EF8" w:rsidRDefault="0075408B">
            <w:pPr>
              <w:pStyle w:val="2"/>
            </w:pPr>
            <w:r>
              <w:t>编外长聘人员经费支出</w:t>
            </w:r>
          </w:p>
        </w:tc>
        <w:tc>
          <w:tcPr>
            <w:tcW w:w="2551" w:type="dxa"/>
            <w:vAlign w:val="center"/>
          </w:tcPr>
          <w:p w:rsidR="00324EF8" w:rsidRDefault="0075408B">
            <w:pPr>
              <w:pStyle w:val="2"/>
            </w:pPr>
            <w:r>
              <w:t>156.5万元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科技馆正常运转率</w:t>
            </w:r>
          </w:p>
        </w:tc>
        <w:tc>
          <w:tcPr>
            <w:tcW w:w="3430" w:type="dxa"/>
            <w:vAlign w:val="center"/>
          </w:tcPr>
          <w:p w:rsidR="00324EF8" w:rsidRDefault="0075408B">
            <w:pPr>
              <w:pStyle w:val="2"/>
            </w:pPr>
            <w:r>
              <w:t>科技馆正常运转率</w:t>
            </w:r>
          </w:p>
        </w:tc>
        <w:tc>
          <w:tcPr>
            <w:tcW w:w="2551" w:type="dxa"/>
            <w:vAlign w:val="center"/>
          </w:tcPr>
          <w:p w:rsidR="00324EF8" w:rsidRDefault="0075408B">
            <w:pPr>
              <w:pStyle w:val="2"/>
            </w:pPr>
            <w:r>
              <w:t>≥90百分比</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科技馆编外人员稳定率</w:t>
            </w:r>
          </w:p>
        </w:tc>
        <w:tc>
          <w:tcPr>
            <w:tcW w:w="3430" w:type="dxa"/>
            <w:vAlign w:val="center"/>
          </w:tcPr>
          <w:p w:rsidR="00324EF8" w:rsidRDefault="0075408B">
            <w:pPr>
              <w:pStyle w:val="2"/>
            </w:pPr>
            <w:r>
              <w:t>科技馆编外人员稳定率</w:t>
            </w:r>
          </w:p>
        </w:tc>
        <w:tc>
          <w:tcPr>
            <w:tcW w:w="2551" w:type="dxa"/>
            <w:vAlign w:val="center"/>
          </w:tcPr>
          <w:p w:rsidR="00324EF8" w:rsidRDefault="0075408B">
            <w:pPr>
              <w:pStyle w:val="2"/>
            </w:pPr>
            <w:r>
              <w:t>≥90百分比</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社会公众及用工部门满意度</w:t>
            </w:r>
          </w:p>
        </w:tc>
        <w:tc>
          <w:tcPr>
            <w:tcW w:w="3430" w:type="dxa"/>
            <w:vAlign w:val="center"/>
          </w:tcPr>
          <w:p w:rsidR="00324EF8" w:rsidRDefault="0075408B">
            <w:pPr>
              <w:pStyle w:val="2"/>
            </w:pPr>
            <w:r>
              <w:t>科技馆用工部门在推进事业发展服务社会公众等工作中对编外长聘人员工作质量满意度；社会公众对相关服务质量满意度。</w:t>
            </w:r>
          </w:p>
        </w:tc>
        <w:tc>
          <w:tcPr>
            <w:tcW w:w="2551" w:type="dxa"/>
            <w:vAlign w:val="center"/>
          </w:tcPr>
          <w:p w:rsidR="00324EF8" w:rsidRDefault="0075408B">
            <w:pPr>
              <w:pStyle w:val="2"/>
            </w:pPr>
            <w:r>
              <w:t>≥80百分比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2" w:name="_Toc_4_4_0000000006"/>
      <w:r>
        <w:rPr>
          <w:rFonts w:ascii="方正仿宋_GBK" w:eastAsia="方正仿宋_GBK" w:hAnsi="方正仿宋_GBK" w:cs="方正仿宋_GBK"/>
          <w:sz w:val="28"/>
        </w:rPr>
        <w:t>3.2025年天津科学技术馆免费开放项目-中央绩效目标表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rsidP="008C5803">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2025年天津科学技术馆免费开放项目-中央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880.00</w:t>
            </w:r>
          </w:p>
        </w:tc>
        <w:tc>
          <w:tcPr>
            <w:tcW w:w="1587" w:type="dxa"/>
            <w:vAlign w:val="center"/>
          </w:tcPr>
          <w:p w:rsidR="00324EF8" w:rsidRDefault="0075408B">
            <w:pPr>
              <w:pStyle w:val="1"/>
            </w:pPr>
            <w:r>
              <w:t>其中：财政    资金</w:t>
            </w:r>
          </w:p>
        </w:tc>
        <w:tc>
          <w:tcPr>
            <w:tcW w:w="1843" w:type="dxa"/>
            <w:vAlign w:val="center"/>
          </w:tcPr>
          <w:p w:rsidR="00324EF8" w:rsidRDefault="0075408B">
            <w:pPr>
              <w:pStyle w:val="2"/>
            </w:pPr>
            <w:r>
              <w:t>880.00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2025年科技馆免费开放第一笔资金。</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1.支付以前年度免费开放项目尾款，提高物业管理水平、安保服务质量，对天津科技馆各大系统及设施进行维护提升，保障科技馆正常运行。</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支付以前免费开放项目尾款</w:t>
            </w:r>
          </w:p>
        </w:tc>
        <w:tc>
          <w:tcPr>
            <w:tcW w:w="3430" w:type="dxa"/>
            <w:vAlign w:val="center"/>
          </w:tcPr>
          <w:p w:rsidR="00324EF8" w:rsidRDefault="0075408B">
            <w:pPr>
              <w:pStyle w:val="2"/>
            </w:pPr>
            <w:r>
              <w:t>支付以前免费开放项目尾款</w:t>
            </w:r>
          </w:p>
        </w:tc>
        <w:tc>
          <w:tcPr>
            <w:tcW w:w="2551" w:type="dxa"/>
            <w:vAlign w:val="center"/>
          </w:tcPr>
          <w:p w:rsidR="00324EF8" w:rsidRDefault="0075408B">
            <w:pPr>
              <w:pStyle w:val="2"/>
            </w:pPr>
            <w:r>
              <w:t>≥2项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物业安保服务人员数</w:t>
            </w:r>
          </w:p>
        </w:tc>
        <w:tc>
          <w:tcPr>
            <w:tcW w:w="3430" w:type="dxa"/>
            <w:vAlign w:val="center"/>
          </w:tcPr>
          <w:p w:rsidR="00324EF8" w:rsidRDefault="0075408B">
            <w:pPr>
              <w:pStyle w:val="2"/>
            </w:pPr>
            <w:r>
              <w:t>物业安保服务人员数</w:t>
            </w:r>
          </w:p>
        </w:tc>
        <w:tc>
          <w:tcPr>
            <w:tcW w:w="2551" w:type="dxa"/>
            <w:vAlign w:val="center"/>
          </w:tcPr>
          <w:p w:rsidR="00324EF8" w:rsidRDefault="0075408B">
            <w:pPr>
              <w:pStyle w:val="2"/>
            </w:pPr>
            <w:r>
              <w:t>≤61人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提升系统设施数</w:t>
            </w:r>
          </w:p>
        </w:tc>
        <w:tc>
          <w:tcPr>
            <w:tcW w:w="3430" w:type="dxa"/>
            <w:vAlign w:val="center"/>
          </w:tcPr>
          <w:p w:rsidR="00324EF8" w:rsidRDefault="0075408B">
            <w:pPr>
              <w:pStyle w:val="2"/>
            </w:pPr>
            <w:r>
              <w:t>提升系统设施数</w:t>
            </w:r>
          </w:p>
        </w:tc>
        <w:tc>
          <w:tcPr>
            <w:tcW w:w="2551" w:type="dxa"/>
            <w:vAlign w:val="center"/>
          </w:tcPr>
          <w:p w:rsidR="00324EF8" w:rsidRDefault="0075408B">
            <w:pPr>
              <w:pStyle w:val="2"/>
            </w:pPr>
            <w:r>
              <w:t>≥3套</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展区建设及展品提升改造数</w:t>
            </w:r>
          </w:p>
        </w:tc>
        <w:tc>
          <w:tcPr>
            <w:tcW w:w="3430" w:type="dxa"/>
            <w:vAlign w:val="center"/>
          </w:tcPr>
          <w:p w:rsidR="00324EF8" w:rsidRDefault="0075408B">
            <w:pPr>
              <w:pStyle w:val="2"/>
            </w:pPr>
            <w:r>
              <w:t>展区建设及展品提升改造数</w:t>
            </w:r>
          </w:p>
        </w:tc>
        <w:tc>
          <w:tcPr>
            <w:tcW w:w="2551" w:type="dxa"/>
            <w:vAlign w:val="center"/>
          </w:tcPr>
          <w:p w:rsidR="00324EF8" w:rsidRDefault="0075408B">
            <w:pPr>
              <w:pStyle w:val="2"/>
            </w:pPr>
            <w:r>
              <w:t>≥2项</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面向公众开展科普活动数</w:t>
            </w:r>
          </w:p>
        </w:tc>
        <w:tc>
          <w:tcPr>
            <w:tcW w:w="3430" w:type="dxa"/>
            <w:vAlign w:val="center"/>
          </w:tcPr>
          <w:p w:rsidR="00324EF8" w:rsidRDefault="0075408B">
            <w:pPr>
              <w:pStyle w:val="2"/>
            </w:pPr>
            <w:r>
              <w:t>面向公众开展科普活动数</w:t>
            </w:r>
          </w:p>
        </w:tc>
        <w:tc>
          <w:tcPr>
            <w:tcW w:w="2551" w:type="dxa"/>
            <w:vAlign w:val="center"/>
          </w:tcPr>
          <w:p w:rsidR="00324EF8" w:rsidRDefault="0075408B">
            <w:pPr>
              <w:pStyle w:val="2"/>
            </w:pPr>
            <w:r>
              <w:t>≥400场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以前年度免费开放项目尾款支付合格率</w:t>
            </w:r>
          </w:p>
        </w:tc>
        <w:tc>
          <w:tcPr>
            <w:tcW w:w="3430" w:type="dxa"/>
            <w:vAlign w:val="center"/>
          </w:tcPr>
          <w:p w:rsidR="00324EF8" w:rsidRDefault="0075408B">
            <w:pPr>
              <w:pStyle w:val="2"/>
            </w:pPr>
            <w:r>
              <w:t>以前年度免费开放项目尾款支付合格率</w:t>
            </w:r>
          </w:p>
        </w:tc>
        <w:tc>
          <w:tcPr>
            <w:tcW w:w="2551" w:type="dxa"/>
            <w:vAlign w:val="center"/>
          </w:tcPr>
          <w:p w:rsidR="00324EF8" w:rsidRDefault="0075408B">
            <w:pPr>
              <w:pStyle w:val="2"/>
            </w:pPr>
            <w:r>
              <w:t>100百分比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物业安保服务合格率</w:t>
            </w:r>
          </w:p>
        </w:tc>
        <w:tc>
          <w:tcPr>
            <w:tcW w:w="3430" w:type="dxa"/>
            <w:vAlign w:val="center"/>
          </w:tcPr>
          <w:p w:rsidR="00324EF8" w:rsidRDefault="0075408B">
            <w:pPr>
              <w:pStyle w:val="2"/>
            </w:pPr>
            <w:r>
              <w:t>物业安保服务合格率</w:t>
            </w:r>
          </w:p>
        </w:tc>
        <w:tc>
          <w:tcPr>
            <w:tcW w:w="2551" w:type="dxa"/>
            <w:vAlign w:val="center"/>
          </w:tcPr>
          <w:p w:rsidR="00324EF8" w:rsidRDefault="0075408B">
            <w:pPr>
              <w:pStyle w:val="2"/>
            </w:pPr>
            <w:r>
              <w:t>100百分比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提升系统或设施合格率</w:t>
            </w:r>
          </w:p>
        </w:tc>
        <w:tc>
          <w:tcPr>
            <w:tcW w:w="3430" w:type="dxa"/>
            <w:vAlign w:val="center"/>
          </w:tcPr>
          <w:p w:rsidR="00324EF8" w:rsidRDefault="0075408B">
            <w:pPr>
              <w:pStyle w:val="2"/>
            </w:pPr>
            <w:r>
              <w:t>提升系统或设施合格率</w:t>
            </w:r>
          </w:p>
        </w:tc>
        <w:tc>
          <w:tcPr>
            <w:tcW w:w="2551" w:type="dxa"/>
            <w:vAlign w:val="center"/>
          </w:tcPr>
          <w:p w:rsidR="00324EF8" w:rsidRDefault="0075408B">
            <w:pPr>
              <w:pStyle w:val="2"/>
            </w:pPr>
            <w:r>
              <w:t>100百分比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展区建设及展品提升合格率</w:t>
            </w:r>
          </w:p>
        </w:tc>
        <w:tc>
          <w:tcPr>
            <w:tcW w:w="3430" w:type="dxa"/>
            <w:vAlign w:val="center"/>
          </w:tcPr>
          <w:p w:rsidR="00324EF8" w:rsidRDefault="0075408B">
            <w:pPr>
              <w:pStyle w:val="2"/>
            </w:pPr>
            <w:r>
              <w:t>展区建设及展品提升合格率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支付以前年度免费开放项目尾款及时率</w:t>
            </w:r>
          </w:p>
        </w:tc>
        <w:tc>
          <w:tcPr>
            <w:tcW w:w="3430" w:type="dxa"/>
            <w:vAlign w:val="center"/>
          </w:tcPr>
          <w:p w:rsidR="00324EF8" w:rsidRDefault="0075408B">
            <w:pPr>
              <w:pStyle w:val="2"/>
            </w:pPr>
            <w:r>
              <w:t>支付以前年度免费开放项目尾款及时率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物业安保服务按时完成率</w:t>
            </w:r>
          </w:p>
        </w:tc>
        <w:tc>
          <w:tcPr>
            <w:tcW w:w="3430" w:type="dxa"/>
            <w:vAlign w:val="center"/>
          </w:tcPr>
          <w:p w:rsidR="00324EF8" w:rsidRDefault="0075408B">
            <w:pPr>
              <w:pStyle w:val="2"/>
            </w:pPr>
            <w:r>
              <w:t>物业安保服务按时完成率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提升系统和设施工作完成时间</w:t>
            </w:r>
          </w:p>
        </w:tc>
        <w:tc>
          <w:tcPr>
            <w:tcW w:w="3430" w:type="dxa"/>
            <w:vAlign w:val="center"/>
          </w:tcPr>
          <w:p w:rsidR="00324EF8" w:rsidRDefault="0075408B">
            <w:pPr>
              <w:pStyle w:val="2"/>
            </w:pPr>
            <w:r>
              <w:t>提升系统和设施工作完成时间</w:t>
            </w:r>
          </w:p>
        </w:tc>
        <w:tc>
          <w:tcPr>
            <w:tcW w:w="2551" w:type="dxa"/>
            <w:vAlign w:val="center"/>
          </w:tcPr>
          <w:p w:rsidR="00324EF8" w:rsidRDefault="0075408B">
            <w:pPr>
              <w:pStyle w:val="2"/>
            </w:pPr>
            <w:r>
              <w:t>按合同规定实施</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开展科普活动完成率</w:t>
            </w:r>
          </w:p>
        </w:tc>
        <w:tc>
          <w:tcPr>
            <w:tcW w:w="3430" w:type="dxa"/>
            <w:vAlign w:val="center"/>
          </w:tcPr>
          <w:p w:rsidR="00324EF8" w:rsidRDefault="0075408B">
            <w:pPr>
              <w:pStyle w:val="2"/>
            </w:pPr>
            <w:r>
              <w:t>开展科普活动完成率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免费开放专项成本费用</w:t>
            </w:r>
          </w:p>
        </w:tc>
        <w:tc>
          <w:tcPr>
            <w:tcW w:w="3430" w:type="dxa"/>
            <w:vAlign w:val="center"/>
          </w:tcPr>
          <w:p w:rsidR="00324EF8" w:rsidRDefault="0075408B">
            <w:pPr>
              <w:pStyle w:val="2"/>
            </w:pPr>
            <w:r>
              <w:t>免费开放专项成本费用</w:t>
            </w:r>
          </w:p>
        </w:tc>
        <w:tc>
          <w:tcPr>
            <w:tcW w:w="2551" w:type="dxa"/>
            <w:vAlign w:val="center"/>
          </w:tcPr>
          <w:p w:rsidR="00324EF8" w:rsidRDefault="0075408B">
            <w:pPr>
              <w:pStyle w:val="2"/>
            </w:pPr>
            <w:r>
              <w:t>880万元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展厅接待及线下活动受益群众</w:t>
            </w:r>
          </w:p>
        </w:tc>
        <w:tc>
          <w:tcPr>
            <w:tcW w:w="3430" w:type="dxa"/>
            <w:vAlign w:val="center"/>
          </w:tcPr>
          <w:p w:rsidR="00324EF8" w:rsidRDefault="0075408B">
            <w:pPr>
              <w:pStyle w:val="2"/>
            </w:pPr>
            <w:r>
              <w:t>展厅接待及线下活动受益群众</w:t>
            </w:r>
          </w:p>
        </w:tc>
        <w:tc>
          <w:tcPr>
            <w:tcW w:w="2551" w:type="dxa"/>
            <w:vAlign w:val="center"/>
          </w:tcPr>
          <w:p w:rsidR="00324EF8" w:rsidRDefault="0075408B">
            <w:pPr>
              <w:pStyle w:val="2"/>
            </w:pPr>
            <w:r>
              <w:t>≥70万人次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网络科普资源及活动受益群众</w:t>
            </w:r>
          </w:p>
        </w:tc>
        <w:tc>
          <w:tcPr>
            <w:tcW w:w="3430" w:type="dxa"/>
            <w:vAlign w:val="center"/>
          </w:tcPr>
          <w:p w:rsidR="00324EF8" w:rsidRDefault="0075408B">
            <w:pPr>
              <w:pStyle w:val="2"/>
            </w:pPr>
            <w:r>
              <w:t>网络科普资源及活动受益群众</w:t>
            </w:r>
          </w:p>
        </w:tc>
        <w:tc>
          <w:tcPr>
            <w:tcW w:w="2551" w:type="dxa"/>
            <w:vAlign w:val="center"/>
          </w:tcPr>
          <w:p w:rsidR="00324EF8" w:rsidRDefault="0075408B">
            <w:pPr>
              <w:pStyle w:val="2"/>
            </w:pPr>
            <w:r>
              <w:t>≥400万人次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系统和设施可使用年限</w:t>
            </w:r>
          </w:p>
        </w:tc>
        <w:tc>
          <w:tcPr>
            <w:tcW w:w="3430" w:type="dxa"/>
            <w:vAlign w:val="center"/>
          </w:tcPr>
          <w:p w:rsidR="00324EF8" w:rsidRDefault="0075408B">
            <w:pPr>
              <w:pStyle w:val="2"/>
            </w:pPr>
            <w:r>
              <w:t>系统和设施可使用年限</w:t>
            </w:r>
          </w:p>
        </w:tc>
        <w:tc>
          <w:tcPr>
            <w:tcW w:w="2551" w:type="dxa"/>
            <w:vAlign w:val="center"/>
          </w:tcPr>
          <w:p w:rsidR="00324EF8" w:rsidRDefault="0075408B">
            <w:pPr>
              <w:pStyle w:val="2"/>
            </w:pPr>
            <w:r>
              <w:t>≥1年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观众满意度</w:t>
            </w:r>
          </w:p>
        </w:tc>
        <w:tc>
          <w:tcPr>
            <w:tcW w:w="3430" w:type="dxa"/>
            <w:vAlign w:val="center"/>
          </w:tcPr>
          <w:p w:rsidR="00324EF8" w:rsidRDefault="0075408B">
            <w:pPr>
              <w:pStyle w:val="2"/>
            </w:pPr>
            <w:r>
              <w:t>观众满意度</w:t>
            </w:r>
          </w:p>
        </w:tc>
        <w:tc>
          <w:tcPr>
            <w:tcW w:w="2551" w:type="dxa"/>
            <w:vAlign w:val="center"/>
          </w:tcPr>
          <w:p w:rsidR="00324EF8" w:rsidRDefault="0075408B">
            <w:pPr>
              <w:pStyle w:val="2"/>
            </w:pPr>
            <w:r>
              <w:t>≥90百分比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3" w:name="_Toc_4_4_0000000007"/>
      <w:r>
        <w:rPr>
          <w:rFonts w:ascii="方正仿宋_GBK" w:eastAsia="方正仿宋_GBK" w:hAnsi="方正仿宋_GBK" w:cs="方正仿宋_GBK"/>
          <w:sz w:val="28"/>
        </w:rPr>
        <w:t>4.2025年天津科学技术馆运行保障项目绩效目标表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rsidP="008C5803">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2025年天津科学技术馆运行保障项目</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542.50</w:t>
            </w:r>
          </w:p>
        </w:tc>
        <w:tc>
          <w:tcPr>
            <w:tcW w:w="1587" w:type="dxa"/>
            <w:vAlign w:val="center"/>
          </w:tcPr>
          <w:p w:rsidR="00324EF8" w:rsidRDefault="0075408B">
            <w:pPr>
              <w:pStyle w:val="1"/>
            </w:pPr>
            <w:r>
              <w:t>其中：财政    资金</w:t>
            </w:r>
          </w:p>
        </w:tc>
        <w:tc>
          <w:tcPr>
            <w:tcW w:w="1843" w:type="dxa"/>
            <w:vAlign w:val="center"/>
          </w:tcPr>
          <w:p w:rsidR="00324EF8" w:rsidRDefault="0075408B">
            <w:pPr>
              <w:pStyle w:val="2"/>
            </w:pPr>
            <w:r>
              <w:t>542.50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科技馆运行保障支出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1.通过对系统进行日常维护、展品维修维护、开展科普活动等工作，确保科技馆正常运行，提供更加人性化的科普公共服务设施和科普活动项目，提升科技馆科普公共服务水平。</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运行维护系统数量</w:t>
            </w:r>
          </w:p>
        </w:tc>
        <w:tc>
          <w:tcPr>
            <w:tcW w:w="3430" w:type="dxa"/>
            <w:vAlign w:val="center"/>
          </w:tcPr>
          <w:p w:rsidR="00324EF8" w:rsidRDefault="0075408B">
            <w:pPr>
              <w:pStyle w:val="2"/>
            </w:pPr>
            <w:r>
              <w:t>运行维护系统数量</w:t>
            </w:r>
          </w:p>
        </w:tc>
        <w:tc>
          <w:tcPr>
            <w:tcW w:w="2551" w:type="dxa"/>
            <w:vAlign w:val="center"/>
          </w:tcPr>
          <w:p w:rsidR="00324EF8" w:rsidRDefault="0075408B">
            <w:pPr>
              <w:pStyle w:val="2"/>
            </w:pPr>
            <w:r>
              <w:t>≥5个</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维修维护展品数量</w:t>
            </w:r>
          </w:p>
        </w:tc>
        <w:tc>
          <w:tcPr>
            <w:tcW w:w="3430" w:type="dxa"/>
            <w:vAlign w:val="center"/>
          </w:tcPr>
          <w:p w:rsidR="00324EF8" w:rsidRDefault="0075408B">
            <w:pPr>
              <w:pStyle w:val="2"/>
            </w:pPr>
            <w:r>
              <w:t>维修维护展品数量</w:t>
            </w:r>
          </w:p>
        </w:tc>
        <w:tc>
          <w:tcPr>
            <w:tcW w:w="2551" w:type="dxa"/>
            <w:vAlign w:val="center"/>
          </w:tcPr>
          <w:p w:rsidR="00324EF8" w:rsidRDefault="0075408B">
            <w:pPr>
              <w:pStyle w:val="2"/>
            </w:pPr>
            <w:r>
              <w:t>≥850件</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科普活动场次</w:t>
            </w:r>
          </w:p>
        </w:tc>
        <w:tc>
          <w:tcPr>
            <w:tcW w:w="3430" w:type="dxa"/>
            <w:vAlign w:val="center"/>
          </w:tcPr>
          <w:p w:rsidR="00324EF8" w:rsidRDefault="0075408B">
            <w:pPr>
              <w:pStyle w:val="2"/>
            </w:pPr>
            <w:r>
              <w:t>科普活动场次</w:t>
            </w:r>
          </w:p>
        </w:tc>
        <w:tc>
          <w:tcPr>
            <w:tcW w:w="2551" w:type="dxa"/>
            <w:vAlign w:val="center"/>
          </w:tcPr>
          <w:p w:rsidR="00324EF8" w:rsidRDefault="0075408B">
            <w:pPr>
              <w:pStyle w:val="2"/>
            </w:pPr>
            <w:r>
              <w:t>≥2000场</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全年所需运行保障费用</w:t>
            </w:r>
          </w:p>
        </w:tc>
        <w:tc>
          <w:tcPr>
            <w:tcW w:w="3430" w:type="dxa"/>
            <w:vAlign w:val="center"/>
          </w:tcPr>
          <w:p w:rsidR="00324EF8" w:rsidRDefault="0075408B">
            <w:pPr>
              <w:pStyle w:val="2"/>
            </w:pPr>
            <w:r>
              <w:t>全年所需运行保障费用</w:t>
            </w:r>
          </w:p>
        </w:tc>
        <w:tc>
          <w:tcPr>
            <w:tcW w:w="2551" w:type="dxa"/>
            <w:vAlign w:val="center"/>
          </w:tcPr>
          <w:p w:rsidR="00324EF8" w:rsidRDefault="0075408B">
            <w:pPr>
              <w:pStyle w:val="2"/>
            </w:pPr>
            <w:r>
              <w:t>542.5万元</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系统日常维护完成时间</w:t>
            </w:r>
          </w:p>
        </w:tc>
        <w:tc>
          <w:tcPr>
            <w:tcW w:w="3430" w:type="dxa"/>
            <w:vAlign w:val="center"/>
          </w:tcPr>
          <w:p w:rsidR="00324EF8" w:rsidRDefault="0075408B">
            <w:pPr>
              <w:pStyle w:val="2"/>
            </w:pPr>
            <w:r>
              <w:t>系统日常维护完成时间</w:t>
            </w:r>
          </w:p>
        </w:tc>
        <w:tc>
          <w:tcPr>
            <w:tcW w:w="2551" w:type="dxa"/>
            <w:vAlign w:val="center"/>
          </w:tcPr>
          <w:p w:rsidR="00324EF8" w:rsidRDefault="0075408B">
            <w:pPr>
              <w:pStyle w:val="2"/>
            </w:pPr>
            <w:r>
              <w:t>2025年底前完成</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展品维修维护按时完成率</w:t>
            </w:r>
          </w:p>
        </w:tc>
        <w:tc>
          <w:tcPr>
            <w:tcW w:w="3430" w:type="dxa"/>
            <w:vAlign w:val="center"/>
          </w:tcPr>
          <w:p w:rsidR="00324EF8" w:rsidRDefault="0075408B">
            <w:pPr>
              <w:pStyle w:val="2"/>
            </w:pPr>
            <w:r>
              <w:t>展品维修维护按时完成率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科普活动举办按时完成率</w:t>
            </w:r>
          </w:p>
        </w:tc>
        <w:tc>
          <w:tcPr>
            <w:tcW w:w="3430" w:type="dxa"/>
            <w:vAlign w:val="center"/>
          </w:tcPr>
          <w:p w:rsidR="00324EF8" w:rsidRDefault="0075408B">
            <w:pPr>
              <w:pStyle w:val="2"/>
            </w:pPr>
            <w:r>
              <w:t>科普活动举办按时完成率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科普活动受众人数</w:t>
            </w:r>
          </w:p>
        </w:tc>
        <w:tc>
          <w:tcPr>
            <w:tcW w:w="3430" w:type="dxa"/>
            <w:vAlign w:val="center"/>
          </w:tcPr>
          <w:p w:rsidR="00324EF8" w:rsidRDefault="0075408B">
            <w:pPr>
              <w:pStyle w:val="2"/>
            </w:pPr>
            <w:r>
              <w:t>科普活动受众人数</w:t>
            </w:r>
          </w:p>
        </w:tc>
        <w:tc>
          <w:tcPr>
            <w:tcW w:w="2551" w:type="dxa"/>
            <w:vAlign w:val="center"/>
          </w:tcPr>
          <w:p w:rsidR="00324EF8" w:rsidRDefault="0075408B">
            <w:pPr>
              <w:pStyle w:val="2"/>
            </w:pPr>
            <w:r>
              <w:t>≥100万人次</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展品维修维护合格率</w:t>
            </w:r>
          </w:p>
        </w:tc>
        <w:tc>
          <w:tcPr>
            <w:tcW w:w="3430" w:type="dxa"/>
            <w:vAlign w:val="center"/>
          </w:tcPr>
          <w:p w:rsidR="00324EF8" w:rsidRDefault="0075408B">
            <w:pPr>
              <w:pStyle w:val="2"/>
            </w:pPr>
            <w:r>
              <w:t>展品维修维护合格率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系统日常维护合格率</w:t>
            </w:r>
          </w:p>
        </w:tc>
        <w:tc>
          <w:tcPr>
            <w:tcW w:w="3430" w:type="dxa"/>
            <w:vAlign w:val="center"/>
          </w:tcPr>
          <w:p w:rsidR="00324EF8" w:rsidRDefault="0075408B">
            <w:pPr>
              <w:pStyle w:val="2"/>
            </w:pPr>
            <w:r>
              <w:t>系统日常维护合格率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科技馆正常运行天数</w:t>
            </w:r>
          </w:p>
        </w:tc>
        <w:tc>
          <w:tcPr>
            <w:tcW w:w="3430" w:type="dxa"/>
            <w:vAlign w:val="center"/>
          </w:tcPr>
          <w:p w:rsidR="00324EF8" w:rsidRDefault="0075408B">
            <w:pPr>
              <w:pStyle w:val="2"/>
            </w:pPr>
            <w:r>
              <w:t>科技馆正常运行天数</w:t>
            </w:r>
          </w:p>
        </w:tc>
        <w:tc>
          <w:tcPr>
            <w:tcW w:w="2551" w:type="dxa"/>
            <w:vAlign w:val="center"/>
          </w:tcPr>
          <w:p w:rsidR="00324EF8" w:rsidRDefault="0075408B">
            <w:pPr>
              <w:pStyle w:val="2"/>
            </w:pPr>
            <w:r>
              <w:t>≥250天</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展厅接待量</w:t>
            </w:r>
          </w:p>
        </w:tc>
        <w:tc>
          <w:tcPr>
            <w:tcW w:w="3430" w:type="dxa"/>
            <w:vAlign w:val="center"/>
          </w:tcPr>
          <w:p w:rsidR="00324EF8" w:rsidRDefault="0075408B">
            <w:pPr>
              <w:pStyle w:val="2"/>
            </w:pPr>
            <w:r>
              <w:t>展厅接待量</w:t>
            </w:r>
          </w:p>
        </w:tc>
        <w:tc>
          <w:tcPr>
            <w:tcW w:w="2551" w:type="dxa"/>
            <w:vAlign w:val="center"/>
          </w:tcPr>
          <w:p w:rsidR="00324EF8" w:rsidRDefault="0075408B">
            <w:pPr>
              <w:pStyle w:val="2"/>
            </w:pPr>
            <w:r>
              <w:t>≥60万人次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系统维护年限</w:t>
            </w:r>
          </w:p>
        </w:tc>
        <w:tc>
          <w:tcPr>
            <w:tcW w:w="3430" w:type="dxa"/>
            <w:vAlign w:val="center"/>
          </w:tcPr>
          <w:p w:rsidR="00324EF8" w:rsidRDefault="0075408B">
            <w:pPr>
              <w:pStyle w:val="2"/>
            </w:pPr>
            <w:r>
              <w:t>系统维护年限</w:t>
            </w:r>
          </w:p>
        </w:tc>
        <w:tc>
          <w:tcPr>
            <w:tcW w:w="2551" w:type="dxa"/>
            <w:vAlign w:val="center"/>
          </w:tcPr>
          <w:p w:rsidR="00324EF8" w:rsidRDefault="0075408B">
            <w:pPr>
              <w:pStyle w:val="2"/>
            </w:pPr>
            <w:r>
              <w:t>≥1年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科技馆参观人员满意度</w:t>
            </w:r>
          </w:p>
        </w:tc>
        <w:tc>
          <w:tcPr>
            <w:tcW w:w="3430" w:type="dxa"/>
            <w:vAlign w:val="center"/>
          </w:tcPr>
          <w:p w:rsidR="00324EF8" w:rsidRDefault="0075408B">
            <w:pPr>
              <w:pStyle w:val="2"/>
            </w:pPr>
            <w:r>
              <w:t>科技馆参观人员满意度</w:t>
            </w:r>
          </w:p>
        </w:tc>
        <w:tc>
          <w:tcPr>
            <w:tcW w:w="2551" w:type="dxa"/>
            <w:vAlign w:val="center"/>
          </w:tcPr>
          <w:p w:rsidR="00324EF8" w:rsidRDefault="0075408B">
            <w:pPr>
              <w:pStyle w:val="2"/>
            </w:pPr>
            <w:r>
              <w:t>≥95百分比</w:t>
            </w:r>
          </w:p>
        </w:tc>
      </w:tr>
    </w:tbl>
    <w:p w:rsidR="00324EF8" w:rsidRDefault="00324EF8">
      <w:pPr>
        <w:sectPr w:rsidR="00324EF8">
          <w:pgSz w:w="11900" w:h="16840"/>
          <w:pgMar w:top="1984" w:right="1304" w:bottom="1134" w:left="1304" w:header="720" w:footer="720" w:gutter="0"/>
          <w:cols w:space="720"/>
        </w:sectPr>
      </w:pPr>
    </w:p>
    <w:p w:rsidR="00324EF8" w:rsidRDefault="00324EF8">
      <w:pPr>
        <w:jc w:val="center"/>
      </w:pPr>
    </w:p>
    <w:p w:rsidR="00324EF8" w:rsidRDefault="0075408B">
      <w:pPr>
        <w:ind w:firstLine="560"/>
        <w:outlineLvl w:val="3"/>
      </w:pPr>
      <w:bookmarkStart w:id="4" w:name="_Toc_4_4_0000000008"/>
      <w:r>
        <w:rPr>
          <w:rFonts w:ascii="方正仿宋_GBK" w:eastAsia="方正仿宋_GBK" w:hAnsi="方正仿宋_GBK" w:cs="方正仿宋_GBK"/>
          <w:sz w:val="28"/>
        </w:rPr>
        <w:t>5.天津科学技术馆球幕影院提升改造绩效目标表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5C4CD7" w:rsidTr="005C4CD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324EF8" w:rsidRDefault="0075408B" w:rsidP="008C5803">
            <w:pPr>
              <w:pStyle w:val="5"/>
            </w:pPr>
            <w:r>
              <w:t>644天津科学技术馆</w:t>
            </w:r>
          </w:p>
        </w:tc>
        <w:tc>
          <w:tcPr>
            <w:tcW w:w="1276" w:type="dxa"/>
            <w:tcBorders>
              <w:top w:val="single" w:sz="6" w:space="0" w:color="FFFFFF"/>
              <w:left w:val="single" w:sz="6" w:space="0" w:color="FFFFFF"/>
              <w:right w:val="single" w:sz="6" w:space="0" w:color="FFFFFF"/>
            </w:tcBorders>
            <w:vAlign w:val="center"/>
          </w:tcPr>
          <w:p w:rsidR="00324EF8" w:rsidRDefault="0075408B">
            <w:pPr>
              <w:pStyle w:val="4"/>
            </w:pPr>
            <w:r>
              <w:t>单位：万元</w:t>
            </w:r>
          </w:p>
        </w:tc>
      </w:tr>
      <w:tr w:rsidR="005C4CD7" w:rsidTr="005C4CD7">
        <w:trPr>
          <w:trHeight w:val="369"/>
          <w:jc w:val="center"/>
        </w:trPr>
        <w:tc>
          <w:tcPr>
            <w:tcW w:w="1276" w:type="dxa"/>
            <w:vAlign w:val="center"/>
          </w:tcPr>
          <w:p w:rsidR="00324EF8" w:rsidRDefault="0075408B">
            <w:pPr>
              <w:pStyle w:val="1"/>
            </w:pPr>
            <w:r>
              <w:t>项目名称</w:t>
            </w:r>
          </w:p>
        </w:tc>
        <w:tc>
          <w:tcPr>
            <w:tcW w:w="8589" w:type="dxa"/>
            <w:gridSpan w:val="6"/>
            <w:vAlign w:val="center"/>
          </w:tcPr>
          <w:p w:rsidR="00324EF8" w:rsidRDefault="0075408B">
            <w:pPr>
              <w:pStyle w:val="2"/>
            </w:pPr>
            <w:r>
              <w:t>天津科学技术馆球幕影院提升改造</w:t>
            </w:r>
          </w:p>
        </w:tc>
      </w:tr>
      <w:tr w:rsidR="00324EF8">
        <w:trPr>
          <w:trHeight w:val="369"/>
          <w:jc w:val="center"/>
        </w:trPr>
        <w:tc>
          <w:tcPr>
            <w:tcW w:w="1276" w:type="dxa"/>
            <w:vMerge w:val="restart"/>
            <w:vAlign w:val="center"/>
          </w:tcPr>
          <w:p w:rsidR="00324EF8" w:rsidRDefault="0075408B">
            <w:pPr>
              <w:pStyle w:val="1"/>
            </w:pPr>
            <w:r>
              <w:t>预算规模及资金用途</w:t>
            </w:r>
          </w:p>
        </w:tc>
        <w:tc>
          <w:tcPr>
            <w:tcW w:w="1276" w:type="dxa"/>
            <w:vAlign w:val="center"/>
          </w:tcPr>
          <w:p w:rsidR="00324EF8" w:rsidRDefault="0075408B">
            <w:pPr>
              <w:pStyle w:val="1"/>
            </w:pPr>
            <w:r>
              <w:t>预算数</w:t>
            </w:r>
          </w:p>
        </w:tc>
        <w:tc>
          <w:tcPr>
            <w:tcW w:w="1332" w:type="dxa"/>
            <w:vAlign w:val="center"/>
          </w:tcPr>
          <w:p w:rsidR="00324EF8" w:rsidRDefault="0075408B">
            <w:pPr>
              <w:pStyle w:val="2"/>
            </w:pPr>
            <w:r>
              <w:t>600.00</w:t>
            </w:r>
          </w:p>
        </w:tc>
        <w:tc>
          <w:tcPr>
            <w:tcW w:w="1587" w:type="dxa"/>
            <w:vAlign w:val="center"/>
          </w:tcPr>
          <w:p w:rsidR="00324EF8" w:rsidRDefault="0075408B">
            <w:pPr>
              <w:pStyle w:val="1"/>
            </w:pPr>
            <w:r>
              <w:t>其中：财政    资金</w:t>
            </w:r>
          </w:p>
        </w:tc>
        <w:tc>
          <w:tcPr>
            <w:tcW w:w="1843" w:type="dxa"/>
            <w:vAlign w:val="center"/>
          </w:tcPr>
          <w:p w:rsidR="00324EF8" w:rsidRDefault="0075408B">
            <w:pPr>
              <w:pStyle w:val="2"/>
            </w:pPr>
            <w:r>
              <w:t>600.00</w:t>
            </w:r>
          </w:p>
        </w:tc>
        <w:tc>
          <w:tcPr>
            <w:tcW w:w="1276" w:type="dxa"/>
            <w:vAlign w:val="center"/>
          </w:tcPr>
          <w:p w:rsidR="00324EF8" w:rsidRDefault="0075408B">
            <w:pPr>
              <w:pStyle w:val="1"/>
            </w:pPr>
            <w:r>
              <w:t>其他资金</w:t>
            </w:r>
          </w:p>
        </w:tc>
        <w:tc>
          <w:tcPr>
            <w:tcW w:w="1276" w:type="dxa"/>
            <w:vAlign w:val="center"/>
          </w:tcPr>
          <w:p w:rsidR="00324EF8" w:rsidRDefault="00324EF8">
            <w:pPr>
              <w:pStyle w:val="2"/>
            </w:pPr>
          </w:p>
        </w:tc>
      </w:tr>
      <w:tr w:rsidR="005C4CD7" w:rsidTr="005C4CD7">
        <w:trPr>
          <w:trHeight w:val="369"/>
          <w:jc w:val="center"/>
        </w:trPr>
        <w:tc>
          <w:tcPr>
            <w:tcW w:w="1276" w:type="dxa"/>
            <w:vMerge/>
          </w:tcPr>
          <w:p w:rsidR="00324EF8" w:rsidRDefault="00324EF8"/>
        </w:tc>
        <w:tc>
          <w:tcPr>
            <w:tcW w:w="8589" w:type="dxa"/>
            <w:gridSpan w:val="6"/>
            <w:vAlign w:val="center"/>
          </w:tcPr>
          <w:p w:rsidR="00324EF8" w:rsidRDefault="0075408B">
            <w:pPr>
              <w:pStyle w:val="2"/>
            </w:pPr>
            <w:r>
              <w:t>球幕影院提升改造支出。</w:t>
            </w:r>
          </w:p>
        </w:tc>
      </w:tr>
      <w:tr w:rsidR="005C4CD7" w:rsidTr="005C4CD7">
        <w:trPr>
          <w:trHeight w:val="369"/>
          <w:jc w:val="center"/>
        </w:trPr>
        <w:tc>
          <w:tcPr>
            <w:tcW w:w="1276" w:type="dxa"/>
            <w:vAlign w:val="center"/>
          </w:tcPr>
          <w:p w:rsidR="00324EF8" w:rsidRDefault="0075408B">
            <w:pPr>
              <w:pStyle w:val="1"/>
            </w:pPr>
            <w:r>
              <w:t>绩效目标</w:t>
            </w:r>
          </w:p>
        </w:tc>
        <w:tc>
          <w:tcPr>
            <w:tcW w:w="8589" w:type="dxa"/>
            <w:gridSpan w:val="6"/>
            <w:vAlign w:val="center"/>
          </w:tcPr>
          <w:p w:rsidR="00324EF8" w:rsidRDefault="0075408B">
            <w:pPr>
              <w:pStyle w:val="2"/>
            </w:pPr>
            <w:r>
              <w:t>1.用于提升改造球幕影院。</w:t>
            </w:r>
          </w:p>
        </w:tc>
      </w:tr>
    </w:tbl>
    <w:p w:rsidR="00324EF8" w:rsidRDefault="00324EF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5C4CD7" w:rsidTr="005C4CD7">
        <w:trPr>
          <w:trHeight w:val="397"/>
          <w:tblHeader/>
          <w:jc w:val="center"/>
        </w:trPr>
        <w:tc>
          <w:tcPr>
            <w:tcW w:w="1276" w:type="dxa"/>
            <w:vAlign w:val="center"/>
          </w:tcPr>
          <w:p w:rsidR="00324EF8" w:rsidRDefault="0075408B">
            <w:pPr>
              <w:pStyle w:val="1"/>
            </w:pPr>
            <w:r>
              <w:t>一级指标</w:t>
            </w:r>
          </w:p>
        </w:tc>
        <w:tc>
          <w:tcPr>
            <w:tcW w:w="1276" w:type="dxa"/>
            <w:vAlign w:val="center"/>
          </w:tcPr>
          <w:p w:rsidR="00324EF8" w:rsidRDefault="0075408B">
            <w:pPr>
              <w:pStyle w:val="1"/>
            </w:pPr>
            <w:r>
              <w:t>二级指标</w:t>
            </w:r>
          </w:p>
        </w:tc>
        <w:tc>
          <w:tcPr>
            <w:tcW w:w="1332" w:type="dxa"/>
            <w:vAlign w:val="center"/>
          </w:tcPr>
          <w:p w:rsidR="00324EF8" w:rsidRDefault="0075408B">
            <w:pPr>
              <w:pStyle w:val="1"/>
            </w:pPr>
            <w:r>
              <w:t>三级指标</w:t>
            </w:r>
          </w:p>
        </w:tc>
        <w:tc>
          <w:tcPr>
            <w:tcW w:w="3430" w:type="dxa"/>
            <w:vAlign w:val="center"/>
          </w:tcPr>
          <w:p w:rsidR="00324EF8" w:rsidRDefault="0075408B">
            <w:pPr>
              <w:pStyle w:val="1"/>
            </w:pPr>
            <w:r>
              <w:t>绩效指标描述</w:t>
            </w:r>
          </w:p>
        </w:tc>
        <w:tc>
          <w:tcPr>
            <w:tcW w:w="2551" w:type="dxa"/>
            <w:vAlign w:val="center"/>
          </w:tcPr>
          <w:p w:rsidR="00324EF8" w:rsidRDefault="0075408B">
            <w:pPr>
              <w:pStyle w:val="1"/>
            </w:pPr>
            <w:r>
              <w:t>指标值</w:t>
            </w:r>
          </w:p>
        </w:tc>
      </w:tr>
      <w:tr w:rsidR="005C4CD7" w:rsidTr="005C4CD7">
        <w:trPr>
          <w:trHeight w:val="369"/>
          <w:jc w:val="center"/>
        </w:trPr>
        <w:tc>
          <w:tcPr>
            <w:tcW w:w="1276" w:type="dxa"/>
            <w:vMerge w:val="restart"/>
            <w:vAlign w:val="center"/>
          </w:tcPr>
          <w:p w:rsidR="00324EF8" w:rsidRDefault="0075408B">
            <w:pPr>
              <w:pStyle w:val="3"/>
            </w:pPr>
            <w:r>
              <w:t>产出指标</w:t>
            </w:r>
          </w:p>
        </w:tc>
        <w:tc>
          <w:tcPr>
            <w:tcW w:w="1276" w:type="dxa"/>
            <w:vAlign w:val="center"/>
          </w:tcPr>
          <w:p w:rsidR="00324EF8" w:rsidRDefault="0075408B">
            <w:pPr>
              <w:pStyle w:val="2"/>
            </w:pPr>
            <w:r>
              <w:t>数量指标</w:t>
            </w:r>
          </w:p>
        </w:tc>
        <w:tc>
          <w:tcPr>
            <w:tcW w:w="1332" w:type="dxa"/>
            <w:vAlign w:val="center"/>
          </w:tcPr>
          <w:p w:rsidR="00324EF8" w:rsidRDefault="0075408B">
            <w:pPr>
              <w:pStyle w:val="2"/>
            </w:pPr>
            <w:r>
              <w:t>提升改造球幕影院数量</w:t>
            </w:r>
          </w:p>
        </w:tc>
        <w:tc>
          <w:tcPr>
            <w:tcW w:w="3430" w:type="dxa"/>
            <w:vAlign w:val="center"/>
          </w:tcPr>
          <w:p w:rsidR="00324EF8" w:rsidRDefault="0075408B">
            <w:pPr>
              <w:pStyle w:val="2"/>
            </w:pPr>
            <w:r>
              <w:t>提升改造球幕影院数量</w:t>
            </w:r>
          </w:p>
        </w:tc>
        <w:tc>
          <w:tcPr>
            <w:tcW w:w="2551" w:type="dxa"/>
            <w:vAlign w:val="center"/>
          </w:tcPr>
          <w:p w:rsidR="00324EF8" w:rsidRDefault="0075408B">
            <w:pPr>
              <w:pStyle w:val="2"/>
            </w:pPr>
            <w:r>
              <w:t>1个</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质量指标</w:t>
            </w:r>
          </w:p>
        </w:tc>
        <w:tc>
          <w:tcPr>
            <w:tcW w:w="1332" w:type="dxa"/>
            <w:vAlign w:val="center"/>
          </w:tcPr>
          <w:p w:rsidR="00324EF8" w:rsidRDefault="0075408B">
            <w:pPr>
              <w:pStyle w:val="2"/>
            </w:pPr>
            <w:r>
              <w:t>改造完成后球幕影院放映设备稳定运行率</w:t>
            </w:r>
          </w:p>
        </w:tc>
        <w:tc>
          <w:tcPr>
            <w:tcW w:w="3430" w:type="dxa"/>
            <w:vAlign w:val="center"/>
          </w:tcPr>
          <w:p w:rsidR="00324EF8" w:rsidRDefault="0075408B">
            <w:pPr>
              <w:pStyle w:val="2"/>
            </w:pPr>
            <w:r>
              <w:t>改造完成后球幕影院放映设备稳定运行率</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时效指标</w:t>
            </w:r>
          </w:p>
        </w:tc>
        <w:tc>
          <w:tcPr>
            <w:tcW w:w="1332" w:type="dxa"/>
            <w:vAlign w:val="center"/>
          </w:tcPr>
          <w:p w:rsidR="00324EF8" w:rsidRDefault="0075408B">
            <w:pPr>
              <w:pStyle w:val="2"/>
            </w:pPr>
            <w:r>
              <w:t>提升改造球幕影院周期</w:t>
            </w:r>
          </w:p>
        </w:tc>
        <w:tc>
          <w:tcPr>
            <w:tcW w:w="3430" w:type="dxa"/>
            <w:vAlign w:val="center"/>
          </w:tcPr>
          <w:p w:rsidR="00324EF8" w:rsidRDefault="0075408B">
            <w:pPr>
              <w:pStyle w:val="2"/>
            </w:pPr>
            <w:r>
              <w:t>提升改造球幕影院周期</w:t>
            </w:r>
          </w:p>
        </w:tc>
        <w:tc>
          <w:tcPr>
            <w:tcW w:w="2551" w:type="dxa"/>
            <w:vAlign w:val="center"/>
          </w:tcPr>
          <w:p w:rsidR="00324EF8" w:rsidRDefault="0075408B">
            <w:pPr>
              <w:pStyle w:val="2"/>
            </w:pPr>
            <w:r>
              <w:t>≥95百分比</w:t>
            </w:r>
          </w:p>
        </w:tc>
      </w:tr>
      <w:tr w:rsidR="005C4CD7" w:rsidTr="005C4CD7">
        <w:trPr>
          <w:trHeight w:val="369"/>
          <w:jc w:val="center"/>
        </w:trPr>
        <w:tc>
          <w:tcPr>
            <w:tcW w:w="1276" w:type="dxa"/>
            <w:vMerge/>
            <w:vAlign w:val="center"/>
          </w:tcPr>
          <w:p w:rsidR="00324EF8" w:rsidRDefault="00324EF8"/>
        </w:tc>
        <w:tc>
          <w:tcPr>
            <w:tcW w:w="1276" w:type="dxa"/>
            <w:vAlign w:val="center"/>
          </w:tcPr>
          <w:p w:rsidR="00324EF8" w:rsidRDefault="0075408B">
            <w:pPr>
              <w:pStyle w:val="2"/>
            </w:pPr>
            <w:r>
              <w:t>成本指标</w:t>
            </w:r>
          </w:p>
        </w:tc>
        <w:tc>
          <w:tcPr>
            <w:tcW w:w="1332" w:type="dxa"/>
            <w:vAlign w:val="center"/>
          </w:tcPr>
          <w:p w:rsidR="00324EF8" w:rsidRDefault="0075408B">
            <w:pPr>
              <w:pStyle w:val="2"/>
            </w:pPr>
            <w:r>
              <w:t>支付球幕影院提升改造费用</w:t>
            </w:r>
          </w:p>
        </w:tc>
        <w:tc>
          <w:tcPr>
            <w:tcW w:w="3430" w:type="dxa"/>
            <w:vAlign w:val="center"/>
          </w:tcPr>
          <w:p w:rsidR="00324EF8" w:rsidRDefault="0075408B">
            <w:pPr>
              <w:pStyle w:val="2"/>
            </w:pPr>
            <w:r>
              <w:t>支付球幕影院提升改造费用，其中包括激光投影设备提升改造400万元，播控系统提升改造200万元。</w:t>
            </w:r>
          </w:p>
        </w:tc>
        <w:tc>
          <w:tcPr>
            <w:tcW w:w="2551" w:type="dxa"/>
            <w:vAlign w:val="center"/>
          </w:tcPr>
          <w:p w:rsidR="00324EF8" w:rsidRDefault="0075408B">
            <w:pPr>
              <w:pStyle w:val="2"/>
            </w:pPr>
            <w:r>
              <w:t>600万元</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社会效益指标</w:t>
            </w:r>
          </w:p>
        </w:tc>
        <w:tc>
          <w:tcPr>
            <w:tcW w:w="1332" w:type="dxa"/>
            <w:vAlign w:val="center"/>
          </w:tcPr>
          <w:p w:rsidR="00324EF8" w:rsidRDefault="0075408B">
            <w:pPr>
              <w:pStyle w:val="2"/>
            </w:pPr>
            <w:r>
              <w:t>改造完成后球幕影院年直接受益人民群众</w:t>
            </w:r>
          </w:p>
        </w:tc>
        <w:tc>
          <w:tcPr>
            <w:tcW w:w="3430" w:type="dxa"/>
            <w:vAlign w:val="center"/>
          </w:tcPr>
          <w:p w:rsidR="00324EF8" w:rsidRDefault="0075408B">
            <w:pPr>
              <w:pStyle w:val="2"/>
            </w:pPr>
            <w:r>
              <w:t>改造完成后球幕影院年直接受益人民群众</w:t>
            </w:r>
          </w:p>
        </w:tc>
        <w:tc>
          <w:tcPr>
            <w:tcW w:w="2551" w:type="dxa"/>
            <w:vAlign w:val="center"/>
          </w:tcPr>
          <w:p w:rsidR="00324EF8" w:rsidRDefault="0075408B">
            <w:pPr>
              <w:pStyle w:val="2"/>
            </w:pPr>
            <w:r>
              <w:t>≥6万人次</w:t>
            </w:r>
          </w:p>
        </w:tc>
      </w:tr>
      <w:tr w:rsidR="005C4CD7" w:rsidTr="005C4CD7">
        <w:trPr>
          <w:trHeight w:val="369"/>
          <w:jc w:val="center"/>
        </w:trPr>
        <w:tc>
          <w:tcPr>
            <w:tcW w:w="1276" w:type="dxa"/>
            <w:vAlign w:val="center"/>
          </w:tcPr>
          <w:p w:rsidR="00324EF8" w:rsidRDefault="0075408B">
            <w:pPr>
              <w:pStyle w:val="3"/>
            </w:pPr>
            <w:r>
              <w:t>效益指标</w:t>
            </w:r>
          </w:p>
        </w:tc>
        <w:tc>
          <w:tcPr>
            <w:tcW w:w="1276" w:type="dxa"/>
            <w:vAlign w:val="center"/>
          </w:tcPr>
          <w:p w:rsidR="00324EF8" w:rsidRDefault="0075408B">
            <w:pPr>
              <w:pStyle w:val="2"/>
            </w:pPr>
            <w:r>
              <w:t>可持续影响指标</w:t>
            </w:r>
          </w:p>
        </w:tc>
        <w:tc>
          <w:tcPr>
            <w:tcW w:w="1332" w:type="dxa"/>
            <w:vAlign w:val="center"/>
          </w:tcPr>
          <w:p w:rsidR="00324EF8" w:rsidRDefault="0075408B">
            <w:pPr>
              <w:pStyle w:val="2"/>
            </w:pPr>
            <w:r>
              <w:t>改造完成后球幕影院设备使用年限</w:t>
            </w:r>
          </w:p>
        </w:tc>
        <w:tc>
          <w:tcPr>
            <w:tcW w:w="3430" w:type="dxa"/>
            <w:vAlign w:val="center"/>
          </w:tcPr>
          <w:p w:rsidR="00324EF8" w:rsidRDefault="0075408B">
            <w:pPr>
              <w:pStyle w:val="2"/>
            </w:pPr>
            <w:r>
              <w:t>改造完成后球幕影院设备使用年限</w:t>
            </w:r>
          </w:p>
        </w:tc>
        <w:tc>
          <w:tcPr>
            <w:tcW w:w="2551" w:type="dxa"/>
            <w:vAlign w:val="center"/>
          </w:tcPr>
          <w:p w:rsidR="00324EF8" w:rsidRDefault="0075408B">
            <w:pPr>
              <w:pStyle w:val="2"/>
            </w:pPr>
            <w:r>
              <w:t>≥10年</w:t>
            </w:r>
          </w:p>
        </w:tc>
      </w:tr>
      <w:tr w:rsidR="005C4CD7" w:rsidTr="005C4CD7">
        <w:trPr>
          <w:trHeight w:val="369"/>
          <w:jc w:val="center"/>
        </w:trPr>
        <w:tc>
          <w:tcPr>
            <w:tcW w:w="1276" w:type="dxa"/>
            <w:vAlign w:val="center"/>
          </w:tcPr>
          <w:p w:rsidR="00324EF8" w:rsidRDefault="0075408B">
            <w:pPr>
              <w:pStyle w:val="3"/>
            </w:pPr>
            <w:r>
              <w:t>满意度指标</w:t>
            </w:r>
          </w:p>
        </w:tc>
        <w:tc>
          <w:tcPr>
            <w:tcW w:w="1276" w:type="dxa"/>
            <w:vAlign w:val="center"/>
          </w:tcPr>
          <w:p w:rsidR="00324EF8" w:rsidRDefault="0075408B">
            <w:pPr>
              <w:pStyle w:val="2"/>
            </w:pPr>
            <w:r>
              <w:t>服务对象满意度指标</w:t>
            </w:r>
          </w:p>
        </w:tc>
        <w:tc>
          <w:tcPr>
            <w:tcW w:w="1332" w:type="dxa"/>
            <w:vAlign w:val="center"/>
          </w:tcPr>
          <w:p w:rsidR="00324EF8" w:rsidRDefault="0075408B">
            <w:pPr>
              <w:pStyle w:val="2"/>
            </w:pPr>
            <w:r>
              <w:t>改造完成后球幕影院观众满意度</w:t>
            </w:r>
          </w:p>
        </w:tc>
        <w:tc>
          <w:tcPr>
            <w:tcW w:w="3430" w:type="dxa"/>
            <w:vAlign w:val="center"/>
          </w:tcPr>
          <w:p w:rsidR="00324EF8" w:rsidRDefault="0075408B">
            <w:pPr>
              <w:pStyle w:val="2"/>
            </w:pPr>
            <w:r>
              <w:t>改造完成后球幕影院观众满意度</w:t>
            </w:r>
          </w:p>
        </w:tc>
        <w:tc>
          <w:tcPr>
            <w:tcW w:w="2551" w:type="dxa"/>
            <w:vAlign w:val="center"/>
          </w:tcPr>
          <w:p w:rsidR="00324EF8" w:rsidRDefault="0075408B">
            <w:pPr>
              <w:pStyle w:val="2"/>
            </w:pPr>
            <w:r>
              <w:t>≥90百分比</w:t>
            </w:r>
          </w:p>
        </w:tc>
      </w:tr>
    </w:tbl>
    <w:p w:rsidR="00324EF8" w:rsidRDefault="00324EF8"/>
    <w:sectPr w:rsidR="00324EF8" w:rsidSect="00324EF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08B" w:rsidRDefault="0075408B" w:rsidP="00324EF8">
      <w:r>
        <w:separator/>
      </w:r>
    </w:p>
  </w:endnote>
  <w:endnote w:type="continuationSeparator" w:id="1">
    <w:p w:rsidR="0075408B" w:rsidRDefault="0075408B" w:rsidP="00324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F8" w:rsidRDefault="00522618">
    <w:r>
      <w:fldChar w:fldCharType="begin"/>
    </w:r>
    <w:r w:rsidR="0075408B">
      <w:instrText>PAGE "page number"</w:instrText>
    </w:r>
    <w:r>
      <w:fldChar w:fldCharType="separate"/>
    </w:r>
    <w:r w:rsidR="008C5803">
      <w:rPr>
        <w:noProof/>
      </w:rPr>
      <w:t>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F8" w:rsidRDefault="00522618">
    <w:pPr>
      <w:jc w:val="right"/>
    </w:pPr>
    <w:r>
      <w:fldChar w:fldCharType="begin"/>
    </w:r>
    <w:r w:rsidR="0075408B">
      <w:instrText>PAGE "page number"</w:instrText>
    </w:r>
    <w:r>
      <w:fldChar w:fldCharType="separate"/>
    </w:r>
    <w:r w:rsidR="008C5803">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08B" w:rsidRDefault="0075408B" w:rsidP="00324EF8">
      <w:r>
        <w:separator/>
      </w:r>
    </w:p>
  </w:footnote>
  <w:footnote w:type="continuationSeparator" w:id="1">
    <w:p w:rsidR="0075408B" w:rsidRDefault="0075408B" w:rsidP="0032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D7" w:rsidRDefault="005C4C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684F"/>
    <w:multiLevelType w:val="multilevel"/>
    <w:tmpl w:val="F704DF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C89667B"/>
    <w:multiLevelType w:val="multilevel"/>
    <w:tmpl w:val="93C222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2A552BA"/>
    <w:multiLevelType w:val="multilevel"/>
    <w:tmpl w:val="D34A4D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B3A78C8"/>
    <w:multiLevelType w:val="multilevel"/>
    <w:tmpl w:val="D17C26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BB910A7"/>
    <w:multiLevelType w:val="multilevel"/>
    <w:tmpl w:val="F7D89F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4BB05F57"/>
    <w:multiLevelType w:val="multilevel"/>
    <w:tmpl w:val="902A19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D1D1123"/>
    <w:multiLevelType w:val="multilevel"/>
    <w:tmpl w:val="417E0F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4614CE7"/>
    <w:multiLevelType w:val="multilevel"/>
    <w:tmpl w:val="DB20D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7243DF2"/>
    <w:multiLevelType w:val="multilevel"/>
    <w:tmpl w:val="4E7677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C4A4513"/>
    <w:multiLevelType w:val="multilevel"/>
    <w:tmpl w:val="466E35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1DE45AE"/>
    <w:multiLevelType w:val="multilevel"/>
    <w:tmpl w:val="D96802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32D7D8B"/>
    <w:multiLevelType w:val="multilevel"/>
    <w:tmpl w:val="45A679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72F5583"/>
    <w:multiLevelType w:val="multilevel"/>
    <w:tmpl w:val="A844BE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72404BBD"/>
    <w:multiLevelType w:val="multilevel"/>
    <w:tmpl w:val="BFA46C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79A21F19"/>
    <w:multiLevelType w:val="multilevel"/>
    <w:tmpl w:val="9084A0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C57604A"/>
    <w:multiLevelType w:val="multilevel"/>
    <w:tmpl w:val="9578AA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7"/>
  </w:num>
  <w:num w:numId="2">
    <w:abstractNumId w:val="2"/>
  </w:num>
  <w:num w:numId="3">
    <w:abstractNumId w:val="11"/>
  </w:num>
  <w:num w:numId="4">
    <w:abstractNumId w:val="9"/>
  </w:num>
  <w:num w:numId="5">
    <w:abstractNumId w:val="4"/>
  </w:num>
  <w:num w:numId="6">
    <w:abstractNumId w:val="12"/>
  </w:num>
  <w:num w:numId="7">
    <w:abstractNumId w:val="8"/>
  </w:num>
  <w:num w:numId="8">
    <w:abstractNumId w:val="6"/>
  </w:num>
  <w:num w:numId="9">
    <w:abstractNumId w:val="3"/>
  </w:num>
  <w:num w:numId="10">
    <w:abstractNumId w:val="5"/>
  </w:num>
  <w:num w:numId="11">
    <w:abstractNumId w:val="14"/>
  </w:num>
  <w:num w:numId="12">
    <w:abstractNumId w:val="10"/>
  </w:num>
  <w:num w:numId="13">
    <w:abstractNumId w:val="0"/>
  </w:num>
  <w:num w:numId="14">
    <w:abstractNumId w:val="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324EF8"/>
    <w:rsid w:val="00324EF8"/>
    <w:rsid w:val="00522618"/>
    <w:rsid w:val="005C4CD7"/>
    <w:rsid w:val="0075408B"/>
    <w:rsid w:val="008C5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F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324EF8"/>
    <w:pPr>
      <w:spacing w:line="500" w:lineRule="exact"/>
      <w:ind w:firstLine="560"/>
    </w:pPr>
    <w:rPr>
      <w:rFonts w:eastAsia="方正仿宋_GBK"/>
      <w:sz w:val="28"/>
    </w:rPr>
  </w:style>
  <w:style w:type="paragraph" w:customStyle="1" w:styleId="-0">
    <w:name w:val="插入文本样式-插入职责分类绩效目标文件"/>
    <w:basedOn w:val="a"/>
    <w:qFormat/>
    <w:rsid w:val="00324EF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324EF8"/>
    <w:pPr>
      <w:spacing w:line="500" w:lineRule="exact"/>
      <w:ind w:firstLine="560"/>
    </w:pPr>
    <w:rPr>
      <w:rFonts w:eastAsia="方正仿宋_GBK"/>
      <w:sz w:val="28"/>
    </w:rPr>
  </w:style>
  <w:style w:type="table" w:styleId="a3">
    <w:name w:val="Table Grid"/>
    <w:basedOn w:val="a1"/>
    <w:rsid w:val="00324E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324EF8"/>
    <w:pPr>
      <w:jc w:val="right"/>
    </w:pPr>
    <w:rPr>
      <w:rFonts w:ascii="方正书宋_GBK" w:eastAsia="方正书宋_GBK" w:hAnsi="方正书宋_GBK" w:cs="方正书宋_GBK"/>
      <w:sz w:val="21"/>
    </w:rPr>
  </w:style>
  <w:style w:type="paragraph" w:customStyle="1" w:styleId="5">
    <w:name w:val="单元格样式5"/>
    <w:basedOn w:val="a"/>
    <w:qFormat/>
    <w:rsid w:val="00324EF8"/>
    <w:rPr>
      <w:rFonts w:ascii="方正书宋_GBK" w:eastAsia="方正书宋_GBK" w:hAnsi="方正书宋_GBK" w:cs="方正书宋_GBK"/>
      <w:b/>
      <w:sz w:val="21"/>
    </w:rPr>
  </w:style>
  <w:style w:type="paragraph" w:customStyle="1" w:styleId="2">
    <w:name w:val="单元格样式2"/>
    <w:basedOn w:val="a"/>
    <w:qFormat/>
    <w:rsid w:val="00324EF8"/>
    <w:rPr>
      <w:rFonts w:ascii="方正书宋_GBK" w:eastAsia="方正书宋_GBK" w:hAnsi="方正书宋_GBK" w:cs="方正书宋_GBK"/>
      <w:sz w:val="21"/>
    </w:rPr>
  </w:style>
  <w:style w:type="paragraph" w:customStyle="1" w:styleId="1">
    <w:name w:val="单元格样式1"/>
    <w:basedOn w:val="a"/>
    <w:qFormat/>
    <w:rsid w:val="00324EF8"/>
    <w:pPr>
      <w:jc w:val="center"/>
    </w:pPr>
    <w:rPr>
      <w:rFonts w:ascii="方正书宋_GBK" w:eastAsia="方正书宋_GBK" w:hAnsi="方正书宋_GBK" w:cs="方正书宋_GBK"/>
      <w:b/>
      <w:sz w:val="21"/>
    </w:rPr>
  </w:style>
  <w:style w:type="paragraph" w:customStyle="1" w:styleId="3">
    <w:name w:val="单元格样式3"/>
    <w:basedOn w:val="a"/>
    <w:qFormat/>
    <w:rsid w:val="00324EF8"/>
    <w:pPr>
      <w:jc w:val="center"/>
    </w:pPr>
    <w:rPr>
      <w:rFonts w:ascii="方正书宋_GBK" w:eastAsia="方正书宋_GBK" w:hAnsi="方正书宋_GBK" w:cs="方正书宋_GBK"/>
      <w:sz w:val="21"/>
    </w:rPr>
  </w:style>
  <w:style w:type="paragraph" w:customStyle="1" w:styleId="TOC2">
    <w:name w:val="TOC 2"/>
    <w:basedOn w:val="a"/>
    <w:qFormat/>
    <w:rsid w:val="00324EF8"/>
    <w:pPr>
      <w:ind w:left="240"/>
    </w:pPr>
  </w:style>
  <w:style w:type="paragraph" w:customStyle="1" w:styleId="TOC4">
    <w:name w:val="TOC 4"/>
    <w:basedOn w:val="a"/>
    <w:qFormat/>
    <w:rsid w:val="00324EF8"/>
    <w:pPr>
      <w:ind w:left="720"/>
    </w:pPr>
  </w:style>
  <w:style w:type="paragraph" w:customStyle="1" w:styleId="TOC1">
    <w:name w:val="TOC 1"/>
    <w:basedOn w:val="a"/>
    <w:qFormat/>
    <w:rsid w:val="00324EF8"/>
    <w:pPr>
      <w:spacing w:before="120"/>
    </w:pPr>
    <w:rPr>
      <w:rFonts w:eastAsia="方正仿宋_GBK"/>
      <w:color w:val="000000"/>
      <w:sz w:val="28"/>
    </w:rPr>
  </w:style>
  <w:style w:type="paragraph" w:styleId="a4">
    <w:name w:val="header"/>
    <w:basedOn w:val="a"/>
    <w:link w:val="Char"/>
    <w:uiPriority w:val="99"/>
    <w:semiHidden/>
    <w:unhideWhenUsed/>
    <w:rsid w:val="005C4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CD7"/>
    <w:rPr>
      <w:rFonts w:eastAsia="Times New Roman"/>
      <w:sz w:val="18"/>
      <w:szCs w:val="18"/>
      <w:lang w:eastAsia="uk-UA"/>
    </w:rPr>
  </w:style>
  <w:style w:type="paragraph" w:styleId="a5">
    <w:name w:val="footer"/>
    <w:basedOn w:val="a"/>
    <w:link w:val="Char0"/>
    <w:uiPriority w:val="99"/>
    <w:semiHidden/>
    <w:unhideWhenUsed/>
    <w:rsid w:val="005C4CD7"/>
    <w:pPr>
      <w:tabs>
        <w:tab w:val="center" w:pos="4153"/>
        <w:tab w:val="right" w:pos="8306"/>
      </w:tabs>
      <w:snapToGrid w:val="0"/>
    </w:pPr>
    <w:rPr>
      <w:sz w:val="18"/>
      <w:szCs w:val="18"/>
    </w:rPr>
  </w:style>
  <w:style w:type="character" w:customStyle="1" w:styleId="Char0">
    <w:name w:val="页脚 Char"/>
    <w:basedOn w:val="a0"/>
    <w:link w:val="a5"/>
    <w:uiPriority w:val="99"/>
    <w:semiHidden/>
    <w:rsid w:val="005C4CD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2025-01-16T09:26:45Z</dcterms:created>
  <dcterms:modified xsi:type="dcterms:W3CDTF">2025-01-16T01:26:45Z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2025-01-16T09:26:44Z</dcterms:created>
  <dcterms:modified xsi:type="dcterms:W3CDTF">2025-01-16T01:26:44Z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2025-01-16T09:26:44Z</dcterms:created>
  <dcterms:modified xsi:type="dcterms:W3CDTF">2025-01-16T01:26:44Z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2025-01-16T09:26:43Z</dcterms:created>
  <dcterms:modified xsi:type="dcterms:W3CDTF">2025-01-16T01:26:43Z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2025-01-16T09:26:45Z</dcterms:created>
  <dcterms:modified xsi:type="dcterms:W3CDTF">2025-01-16T01:26:45Z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6E865C-685E-4ABE-BDCF-D7FCA2155BC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DA1BC07-C68C-4467-AA29-B61C405D841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B0ED7CA-B5B6-4A23-937C-EC9C2499430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BB0D4E6-3585-4A22-AB39-2CB2DF1153F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FB5BB52-8ABD-4B2E-9B75-3555892A209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807CE48-C9B8-4DB4-824F-E38D1EFFBCA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FB0DD8A-D665-4ED7-BDD8-7A9D8FCF127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188B0BD-6F9A-44F7-BBEE-E0F2246A989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88CF83-0C20-4C64-8903-F3B9FC1E6F7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CD844C1-1135-46FA-BA61-0DCAAC93975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E8CDB43-D520-4EBE-A942-FB58008DF4B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DC47C26-666F-4C19-9E2B-AA96B8C32CF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83743AD-BACF-469D-A1E1-4FBD709380D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434B093-0690-40F9-93AF-9697FC3F81E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567</Words>
  <Characters>3238</Characters>
  <Application>Microsoft Office Word</Application>
  <DocSecurity>0</DocSecurity>
  <Lines>26</Lines>
  <Paragraphs>7</Paragraphs>
  <ScaleCrop>false</ScaleCrop>
  <Company>Micorosoft</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zhb</cp:lastModifiedBy>
  <cp:revision>3</cp:revision>
  <dcterms:created xsi:type="dcterms:W3CDTF">2025-01-16T09:26:00Z</dcterms:created>
  <dcterms:modified xsi:type="dcterms:W3CDTF">2025-02-18T05:45:00Z</dcterms:modified>
</cp:coreProperties>
</file>