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天津科学技术馆</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年度部门决算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TOC \o "1-3" \h \z \u</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_Toc31751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240" w:firstLine="0" w:leftChars="100" w:firstLineChars="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一、主要职责</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_Toc957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二、机构设置</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_Toc9641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_Toc22959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_Toc24940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二、《收入决算表（按功能分类列示）》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_Toc19253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三、《收入决算表（按单位列示）》</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_Toc1420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四、《支出决算表》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_Toc16222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五、《财政拨款收入支出决算总表》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_Toc10133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9</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六、《一般公共预算财政拨款支出决算表》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七、《一般公共预算财政拨款基本支出决算表》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_Toc8838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13</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八、《政府性基金预算财政拨款收入支出决算表》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_Toc2699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九、《国有资本经营预算财政拨款收入支出决算表》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_Toc11009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_Toc25214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十一、《项目支出决算表》</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_Toc18972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年度部门决算情况说明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_Toc7922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一、收入支出决算总体情况说明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_Toc7052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二、收入决算情况说明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_Toc6621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仿宋" w:eastAsia="仿宋" w:hAnsi="仿宋" w:cs="仿宋" w:hint="eastAsia"/>
          <w:bCs w:val="0"/>
          <w:sz w:val="30"/>
          <w:szCs w:val="30"/>
          <w:highlight w:val="none"/>
          <w:lang w:val="en-US" w:eastAsia="zh-CN" w:bidi="ar-SA"/>
        </w:rPr>
        <w:t xml:space="preserve">三、支出决算情况说明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_Toc21049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20</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四、财政拨款收支决算总体情况说明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_Toc8231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五、一般公共预算财政拨款支出决算情况说明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六、一般公共预算财政拨款基本支出决算情况说明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_Toc17234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七、政府性基金预算财政拨款收支决算情况说明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_Toc11228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八、国有资本经营预算财政拨款收支决算情况说明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九、财政拨</w:t>
      </w:r>
      <w:r>
        <w:rPr>
          <w:rFonts w:ascii="仿宋" w:eastAsia="仿宋" w:hAnsi="仿宋" w:cs="仿宋" w:hint="eastAsia"/>
          <w:bCs w:val="0"/>
          <w:sz w:val="30"/>
          <w:szCs w:val="30"/>
          <w:highlight w:val="none"/>
          <w:lang w:val="en-US" w:eastAsia="zh-CN" w:bidi="ar-SA"/>
        </w:rPr>
        <w:t xml:space="preserve">款</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三</w:t>
      </w:r>
      <w:r>
        <w:rPr>
          <w:rFonts w:ascii="仿宋" w:eastAsia="仿宋" w:hAnsi="仿宋" w:cs="仿宋" w:hint="eastAsia"/>
          <w:bCs w:val="0"/>
          <w:sz w:val="30"/>
          <w:szCs w:val="30"/>
          <w:highlight w:val="none"/>
          <w:lang w:val="en-US" w:eastAsia="zh-CN" w:bidi="ar-SA"/>
        </w:rPr>
        <w:t xml:space="preserve">公</w:t>
      </w:r>
      <w:r>
        <w:rPr>
          <w:rFonts w:ascii="仿宋" w:eastAsia="仿宋" w:hAnsi="仿宋" w:cs="仿宋" w:hint="eastAsia"/>
          <w:bCs w:val="0"/>
          <w:sz w:val="30"/>
          <w:szCs w:val="30"/>
          <w:highlight w:val="none"/>
          <w:lang w:val="en-US" w:eastAsia="zh-CN" w:bidi="ar-SA"/>
        </w:rPr>
        <w:t xml:space="preserve">”</w:t>
      </w:r>
      <w:r>
        <w:rPr>
          <w:rFonts w:ascii="仿宋" w:eastAsia="仿宋" w:hAnsi="仿宋" w:cs="仿宋" w:hint="eastAsia"/>
          <w:bCs w:val="0"/>
          <w:sz w:val="30"/>
          <w:szCs w:val="30"/>
          <w:highlight w:val="none"/>
          <w:lang w:val="en-US" w:eastAsia="zh-CN" w:bidi="ar-SA"/>
        </w:rPr>
        <w:t xml:space="preserve">经费支出决算情况说明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_Toc22288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十、机关运行经费支出情况说明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_Toc30303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十一、政府采购支出情况说明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_Toc3597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十二、国有资产占有使用情况说明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_Toc32039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仿宋" w:eastAsia="仿宋" w:hAnsi="仿宋" w:cs="仿宋" w:hint="eastAsia"/>
          <w:bCs w:val="0"/>
          <w:sz w:val="30"/>
          <w:szCs w:val="30"/>
          <w:highlight w:val="none"/>
          <w:lang w:val="en-US" w:eastAsia="zh-CN" w:bidi="ar-SA"/>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十三、预算绩效情况说明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_Toc2201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bCs w:val="0"/>
          <w:sz w:val="30"/>
          <w:szCs w:val="30"/>
          <w:highlight w:val="none"/>
          <w:lang w:val="en-US" w:eastAsia="zh-CN" w:bidi="ar-SA"/>
        </w:rPr>
        <w:fldChar w:fldCharType="begin"/>
      </w:r>
      <w:r>
        <w:rPr>
          <w:rFonts w:ascii="仿宋" w:eastAsia="仿宋" w:hAnsi="仿宋" w:cs="仿宋" w:hint="eastAsia"/>
          <w:bCs w:val="0"/>
          <w:sz w:val="30"/>
          <w:szCs w:val="30"/>
          <w:highlight w:val="none"/>
          <w:lang w:val="en-US" w:eastAsia="zh-CN" w:bidi="ar-SA"/>
        </w:rPr>
        <w:instrText xml:space="preserve"> HYPERLINK   \l " "</w:instrText>
      </w:r>
      <w:r>
        <w:rPr>
          <w:rFonts w:ascii="仿宋" w:eastAsia="仿宋" w:hAnsi="仿宋" w:cs="仿宋" w:hint="eastAsia"/>
          <w:bCs w:val="0"/>
          <w:sz w:val="30"/>
          <w:szCs w:val="30"/>
          <w:highlight w:val="none"/>
          <w:lang w:val="en-US" w:eastAsia="zh-CN" w:bidi="ar-SA"/>
        </w:rPr>
        <w:fldChar w:fldCharType="separate"/>
      </w:r>
      <w:r>
        <w:rPr>
          <w:rFonts w:ascii="仿宋" w:eastAsia="仿宋" w:hAnsi="仿宋" w:cs="仿宋" w:hint="eastAsia"/>
          <w:bCs w:val="0"/>
          <w:sz w:val="30"/>
          <w:szCs w:val="30"/>
          <w:highlight w:val="none"/>
          <w:lang w:val="en-US" w:eastAsia="zh-CN" w:bidi="ar-SA"/>
        </w:rPr>
        <w:t xml:space="preserve">十四、教育、医疗卫生、社会保障和就业、住房保障、涉农补贴等民生支出情况说明</w:t>
      </w:r>
      <w:r>
        <w:rPr>
          <w:rFonts w:ascii="仿宋" w:eastAsia="仿宋" w:hAnsi="仿宋" w:cs="仿宋" w:hint="eastAsia"/>
          <w:bCs w:val="0"/>
          <w:sz w:val="30"/>
          <w:szCs w:val="30"/>
          <w:highlight w:val="none"/>
          <w:lang w:val="en-US" w:eastAsia="zh-CN" w:bidi="ar-SA"/>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_Toc10864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bCs w:val="0"/>
          <w:sz w:val="30"/>
          <w:szCs w:val="30"/>
          <w:highlight w:val="none"/>
          <w:lang w:val="en-US" w:eastAsia="zh-CN" w:bidi="ar-SA"/>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_Toc19733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27</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方正小标宋简体" w:eastAsia="方正小标宋简体" w:hAnsi="方正小标宋简体" w:cs="方正小标宋简体" w:hint="eastAsia"/>
          <w:sz w:val="30"/>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31751"/>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957"/>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天津科学技术馆</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承担科普展览、科学实验、科学表演及相关学术交流活动;承担青少年科技教育，开展科技竞赛、科技辅导员培训;承担科普资源的研发，为全市科技工作者提供政策咨询、资源对接、成果转化等服务工作;建设科普信息资源传播和交流平台;承担为创新驱动发展服务，建设高水平科技创新智库;指导各区科技馆及专业科技馆建设，开展科技馆人员培训</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9641"/>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天津科学技术馆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年度部门决算编制范围的单位包括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天津科学技术馆本级（内设12个职能处室）。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2959"/>
      <w:r>
        <w:rPr>
          <w:rFonts w:ascii="方正小标宋简体" w:eastAsia="方正小标宋简体" w:hAnsi="方正小标宋简体" w:cs="方正小标宋简体" w:hint="eastAsia"/>
          <w:b w:val="0"/>
          <w:bCs w:val="0"/>
          <w:lang w:val="en-US" w:eastAsia="zh-CN"/>
        </w:rPr>
        <w:t xml:space="preserve">第二部分  2025年度部门决算表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49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天津科学技术馆</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56257599.00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59995874.93</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5647193.68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3785045.44</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1477700.00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3705583.03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65610375.71</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65258620.37</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31692.08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2124451.93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2507899.35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2124451.93</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67766519.72</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67766519.72</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divId w:val="0"/>
        <w:ind w:left="-480" w:firstLine="0" w:leftChars="-200" w:firstLineChars="0"/>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19253"/>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天津科学技术馆</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65610375.71</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56257599.00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5647193.68</w:t>
            </w: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3705583.03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60347630.27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51511899.00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5130148.24</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3705583.03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20607</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科学技术普及</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60227346.27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51391615.00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5130148.24</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3705583.03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2060705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科技馆站</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60227346.27</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51391615.00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5130148.24</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3705583.03</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120284.00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120284.00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2069999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其他科学技术支出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120284.00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120284.00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3785045.44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3268000.00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517045.44</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3785045.44</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3268000.00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517045.44</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机关事业单位基本养老保险缴费支出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2422316.72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2179000.00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243316.72</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机关事业单位职业年金缴费支出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1362728.72</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1089000.00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273728.72</w:t>
            </w: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1477700.00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1477700.00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1477700.00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1477700.00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1430000.00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1430000.00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其他行政事业单位医疗支出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47700.00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47700.00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420"/>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天津科学技术馆</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67766519.72</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65610375.71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56257599.00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5647193.68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3705583.03</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644201</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天津科学技术馆</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67766519.72</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65610375.71</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56257599.00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5647193.68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3705583.03</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部门</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天津科学技术馆</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2156144.01</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2156144.01</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2156144.01</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644201</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auto"/>
                <w:kern w:val="0.0"/>
                <w:sz w:val="16"/>
                <w:szCs w:val="16"/>
                <w:u w:val="none"/>
                <w:lang w:val="en-US" w:eastAsia="zh-CN"/>
              </w:rPr>
            </w:pPr>
            <w:r>
              <w:rPr>
                <w:rFonts w:ascii="宋体" w:eastAsia="宋体" w:hAnsi="宋体" w:cs="宋体" w:hint="eastAsia"/>
                <w:i w:val="0"/>
                <w:iCs w:val="0"/>
                <w:color w:val="auto"/>
                <w:kern w:val="0.0"/>
                <w:sz w:val="16"/>
                <w:szCs w:val="16"/>
                <w:u w:val="none"/>
                <w:lang w:val="en-US" w:eastAsia="zh-CN"/>
              </w:rPr>
              <w:t xml:space="preserve">天津科学技术馆</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2156144.01</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2156144.01</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2156144.01</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6222"/>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天津科学技术馆</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65258620.37</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45143153.79</w:t>
            </w: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r>
              <w:rPr>
                <w:rFonts w:ascii="Times New Roman" w:eastAsia="宋体" w:hAnsi="Times New Roman" w:cs="Times New Roman" w:hint="default"/>
                <w:kern w:val="0.0"/>
                <w:sz w:val="20"/>
                <w:szCs w:val="20"/>
                <w:lang w:val="en-US" w:eastAsia="zh-CN"/>
              </w:rPr>
              <w:t xml:space="preserve">20115466.58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59995874.93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39880408.35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20115466.58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20607</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科学技术普及</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59875590.93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39880408.35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19995182.58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2060705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科技馆站</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59875590.93</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39880408.35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19995182.58</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120284.00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120284.00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2069999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其他科学技术支出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120284.00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120284.00</w:t>
            </w: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3785045.44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3785045.44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3785045.44</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3785045.44</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机关事业单位基本养老保险缴费支出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2422316.72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2422316.72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机关事业单位职业年金缴费支出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1362728.72</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1362728.72</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1477700.00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1477700.00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1477700.00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1477700.00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1430000.00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1430000.00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其他行政事业单位医疗支出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47700.00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47700.00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10133"/>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天津科学技术馆</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56257599.00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51511899.00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51511899.00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3268000.00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3268000.00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1477700.00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1477700.00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3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56257599.00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56257599.00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56257599.00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56257599.00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56257599.00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56257599.00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32088"/>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天津科学技术馆</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基本支出</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56257599.00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38487315.00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34833000.00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3654315.00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17770284.00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51511899.00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33741615.00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30087300.00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3654315.00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17770284.00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20607</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科学技术普及</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51391615.00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33741615.00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30087300.00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3654315.00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17650000.00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2060705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科技馆站</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51391615.00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33741615.00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30087300.00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3654315.00</w:t>
            </w: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17650000.00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120284.00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120284.00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2069999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其他科学技术支出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120284.00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120284.00</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3268000.00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3268000.00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3268000.00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3268000.00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3268000.00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3268000.00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机关事业单位基本养老保险缴费支出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2179000.00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2179000.00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2179000.00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机关事业单位职业年金缴费支出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1089000.00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1089000.00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1089000.00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1477700.00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1430000.00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其他行政事业单位医疗支出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r>
              <w:rPr>
                <w:rFonts w:ascii="宋体" w:eastAsia="宋体" w:hAnsi="宋体" w:cs="宋体" w:hint="default"/>
                <w:i w:val="0"/>
                <w:iCs w:val="0"/>
                <w:color w:val="000000"/>
                <w:kern w:val="0.0"/>
                <w:sz w:val="20"/>
                <w:szCs w:val="20"/>
                <w:u w:val="none"/>
                <w:lang w:val="en-US" w:eastAsia="zh-CN"/>
              </w:rPr>
              <w:t xml:space="preserve">47700.00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宋体" w:eastAsia="宋体" w:hAnsi="宋体" w:cs="宋体"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8838"/>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天津科学技术馆</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34515401.80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3631848.25</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6728662.47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326809.77</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22466.75</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2850549.06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10106.50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8286.71</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22466.75</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47723.90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8728573.66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223868.84</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2619103.46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57704.30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1339110.49</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1671002.24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295358.62</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81945.20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267633.58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7819572.38</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517545.13</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57750.00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2491194.46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317598.20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58815.36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3115.00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314576.20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42166.00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82572.16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456000.00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1017819.06</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880.00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22124.20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285000.00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2142.00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137.50</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34833000.00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3654315.00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2699"/>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天津科学技术馆</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天津科学技术馆2025年度政府性基金预算财政拨款收入支出决算表为空表。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11009"/>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天津科学技术馆</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auto"/>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天津科学技术馆2025年度国有资本经营预算财政拨款收入支出决算表为空表。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14"/>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天津科学技术馆</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18115.00</w:t>
            </w: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15000.00</w:t>
            </w: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15000.00</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3115.00</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9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部门</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天津科学技术馆</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20115466.58</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17770284.00</w:t>
            </w: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highlight w:val="none"/>
                <w:u w:val="none"/>
                <w:lang w:val="en-US" w:eastAsia="zh-CN"/>
              </w:rPr>
              <w:t xml:space="preserve">2345182.58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20115466.58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17770284.00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2345182.58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20607</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科学技术普及</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19995182.58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17650000.00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2345182.58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2060705</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科技馆站</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19995182.58</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17650000.00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2345182.58</w:t>
            </w: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120284.00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120284.00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2069999</w:t>
            </w: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其他科学技术支出</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120284.00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000000"/>
                <w:sz w:val="20"/>
                <w:szCs w:val="20"/>
                <w:u w:val="none"/>
                <w:lang w:val="en-US" w:eastAsia="zh-CN" w:bidi="ar-SA"/>
              </w:rPr>
              <w:t xml:space="preserve">120284.00</w:t>
            </w: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7922"/>
      <w:r>
        <w:rPr>
          <w:rFonts w:ascii="方正小标宋简体" w:eastAsia="方正小标宋简体" w:hAnsi="方正小标宋简体" w:cs="方正小标宋简体" w:hint="eastAsia"/>
          <w:b w:val="0"/>
          <w:bCs w:val="0"/>
          <w:lang w:val="en-US" w:eastAsia="zh-CN"/>
        </w:rPr>
        <w:t xml:space="preserve">第三部分  2025年度部门决算情况说明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7052"/>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天津科学技术馆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67,766,519.72</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增加529,692.40元，增长0.79%</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一般公共预算财政拨款的人员经费收入及支出的增加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一般公共预算财政拨款收入56,257,599.00元、事业收入5,647,193.68元、其他收入3,705,583.03元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bookmarkStart w:id="17" w:name="_Toc6621"/>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科学技术支出59,995,874.93元、社会保障和就业支出3,785,045.44元、卫生健康支出1,477,700.00元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天津科学技术馆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65,610,375.71</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增加1,746,223.61元，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一般公共预算财政拨款人员经费收入增加</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一般公共预算财政拨款收入56,257,599.00元，占85.74%；事业收入5,647,193.68元，占8.61%；其他收入3,705,583.03元，占5.65%</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21049"/>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天津科学技术馆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65,258,620.37</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增加163,614.56元，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人员经费支出的增加</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基本支出45,143,153.79元，占69.18%；项目支出20,115,466.58元，占30.82%</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82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天津科学技术馆</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56,257,599.00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增加5,071,988.07元，增长9.91%，</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一般公共预算财政拨款的人员经费收入及支出的增加</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一般公共预算财政拨款56,257,599.00元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科学技术支出51,511,899.00元、社会保障和就业支出3,268,000.00元、卫生健康支出1,477,700.00元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24201"/>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天津科学技术馆2025年度一般公共预算财政拨款支出合计56,257,599.00元，占本年支出合计的86.21%。与2024年度相比，一般公共预算财政拨款支出</w:t>
      </w:r>
      <w:r>
        <w:rPr>
          <w:rFonts w:eastAsia="仿宋_GB2312" w:hint="eastAsia"/>
          <w:sz w:val="30"/>
          <w:szCs w:val="30"/>
          <w:highlight w:val="none"/>
          <w:lang w:val="en-US" w:eastAsia="zh-CN"/>
        </w:rPr>
        <w:t xml:space="preserve">增加5,071,988.07元</w:t>
      </w:r>
      <w:r>
        <w:rPr>
          <w:rFonts w:eastAsia="仿宋_GB2312" w:hint="eastAsia"/>
          <w:sz w:val="30"/>
          <w:szCs w:val="30"/>
          <w:highlight w:val="none"/>
          <w:lang w:val="en-US" w:eastAsia="zh-CN"/>
        </w:rPr>
        <w:t xml:space="preserve">，增长9.91%</w:t>
      </w:r>
      <w:r>
        <w:rPr>
          <w:rFonts w:eastAsia="仿宋_GB2312" w:hint="eastAsia"/>
          <w:sz w:val="30"/>
          <w:szCs w:val="30"/>
          <w:highlight w:val="none"/>
          <w:lang w:val="en-US" w:eastAsia="zh-CN"/>
        </w:rPr>
        <w:t xml:space="preserve">，主要原因是人员经费支出的增加。</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2025年度一般公共预算财政拨款支出56,257,599.00元，主要用于以下方面：</w:t>
      </w:r>
      <w:r>
        <w:rPr>
          <w:rFonts w:eastAsia="仿宋_GB2312" w:hint="eastAsia"/>
          <w:sz w:val="30"/>
          <w:szCs w:val="30"/>
          <w:highlight w:val="none"/>
        </w:rPr>
        <w:t xml:space="preserve">科学技术支出（类）支出51,511,899.00元，占91.56%，社会保障和就业支出（类）支出3,268,000.00元，占5.81%，卫生健康支出（类）支出1,477,700.00元，占2.63%</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2025年度一般公共预算财政拨款支出年初预算为57,990,000.00元，支出决算为56,257,599.00元</w:t>
      </w:r>
      <w:r>
        <w:rPr>
          <w:rFonts w:eastAsia="仿宋_GB2312" w:hint="eastAsia"/>
          <w:sz w:val="30"/>
          <w:szCs w:val="30"/>
          <w:highlight w:val="none"/>
          <w:lang w:val="en-US" w:eastAsia="zh-CN"/>
        </w:rPr>
        <w:t xml:space="preserve">，完成年初预算的97.01%</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科学技术支出（类）科学技术普及（款）科技馆站（项）年初预算为52,937,000.00元，支出决算为51,391,615.00元，完成年初预算的97.08%，决算数小于年初预算数的主要原因是：2025年科技馆免费开放专项年中调整补助资金金额。</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2.科学技术支出（类）其他科学技术支出（款）其他科学技术支出（项）年初预算为0.00元，支出决算为120,284.00元，决算数大于年初预算数的主要原因是：追加抚恤金经费拨款。</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社会保障和就业支出（类）行政事业单位养老支出（款）机关事业单位基本养老保险缴费支出（项）年初预算为2,179,000.00元，支出决算为2,179,000.00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社会保障和就业支出（类）行政事业单位养老支出（款）机关事业单位职业年金缴费支出（项）年初预算为1,089,000.00元，支出决算为1,089,000.00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5.卫生健康支出（类）行政事业单位医疗（款）事业单位医疗（项）年初预算为1,430,000.00元，支出决算为1,430,000.00元，完成年初预算的100.00%，决算数与年初预算数持平的主要原因是：严格按照预算执行。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6.卫生健康支出（类）行政事业单位医疗（款）其他行政事业单位医疗支出（项）年初预算为355,000.00元，支出决算为47,700.00元，完成年初预算的13.44%，决算数小于年初预算数的主要原因是：年中人员动态调整收回部分拨款。</w:t>
      </w:r>
    </w:p>
    <w:p>
      <w:pPr>
        <w:pStyle w:val="标题2"/>
        <w:spacing w:before="0" w:after="0" w:line="600" w:lineRule="exact"/>
        <w:ind w:firstLine="600" w:firstLineChars="200"/>
        <w:rPr>
          <w:rFonts w:ascii="黑体" w:eastAsia="黑体" w:hAnsi="黑体"/>
          <w:b w:val="0"/>
          <w:sz w:val="30"/>
          <w:szCs w:val="30"/>
          <w:highlight w:val="none"/>
        </w:rPr>
      </w:pPr>
      <w:bookmarkStart w:id="21" w:name="_Toc17234"/>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天津科学技术馆2025年度一般公共预算财政拨款基本支出合计38,487,315.00元，与2024年度相比</w:t>
      </w:r>
      <w:r>
        <w:rPr>
          <w:rFonts w:eastAsia="仿宋_GB2312" w:hint="eastAsia"/>
          <w:sz w:val="30"/>
          <w:szCs w:val="30"/>
          <w:highlight w:val="none"/>
          <w:lang w:val="en-US" w:eastAsia="zh-CN"/>
        </w:rPr>
        <w:t xml:space="preserve">增加4,200,285.41元，</w:t>
      </w:r>
      <w:r>
        <w:rPr>
          <w:rFonts w:eastAsia="仿宋_GB2312" w:hint="eastAsia"/>
          <w:sz w:val="30"/>
          <w:szCs w:val="30"/>
          <w:highlight w:val="none"/>
          <w:lang w:val="en-US" w:eastAsia="zh-CN"/>
        </w:rPr>
        <w:t xml:space="preserve">主要原因是人员经费财政拨款支出的增加。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人员经费34,833,000.00元，主要包括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基本工资、津贴补贴、绩效工资、机关事业单位基本养老保险缴费、职业年金缴费、职工基本医疗保险缴费、其他社会保障缴费、住房公积金、其他工资福利支出、退休费、奖励金、其他对个人和家庭的补助</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公用经费3,654,315.00元，主要包括</w:t>
      </w:r>
      <w:r>
        <w:rPr>
          <w:rFonts w:eastAsia="仿宋_GB2312" w:hint="eastAsia"/>
          <w:sz w:val="30"/>
          <w:szCs w:val="30"/>
          <w:highlight w:val="none"/>
          <w:lang w:val="en-US" w:eastAsia="zh-CN"/>
        </w:rPr>
        <w:t xml:space="preserve">办公费、印刷费、手续费、水费、电费、邮电费、物业管理费、差旅费、维修(护)费、租赁费、会议费、培训费、公务接待费、专用材料费、劳务费、工会经费、福利费、公务用车运行维护费、其他交通费用、税金及附加费用、其他商品和服务支出、办公设备购置</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11228"/>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天津科学技术馆2025年度无政府性基金预算财政拨款收入、支出和结转结余。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2429"/>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天津科学技术馆2025年度无国有资本经营预算财政拨款收入、支出和结转结余。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22288"/>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25,000.00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18,115.00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减少6,885.00元</w:t>
      </w:r>
      <w:r>
        <w:rPr>
          <w:rFonts w:eastAsia="仿宋_GB2312" w:hint="eastAsia"/>
          <w:sz w:val="30"/>
          <w:szCs w:val="30"/>
          <w:highlight w:val="none"/>
          <w:lang w:val="en-US" w:eastAsia="zh-CN"/>
        </w:rPr>
        <w:t xml:space="preserve">，完成预算的72.46%</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支出决算较上年减少1,614.59元</w:t>
      </w:r>
      <w:r>
        <w:rPr>
          <w:rFonts w:eastAsia="仿宋_GB2312" w:hint="eastAsia"/>
          <w:sz w:val="30"/>
          <w:szCs w:val="30"/>
          <w:highlight w:val="none"/>
          <w:lang w:val="en-US" w:eastAsia="zh-CN"/>
        </w:rPr>
        <w:t xml:space="preserve">，下降8.18%</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决算数小于预算数的主要原因是厉行节约，严格按照预算执行，合理安排“三公”经费支出；</w:t>
      </w:r>
      <w:r>
        <w:rPr>
          <w:rFonts w:eastAsia="仿宋_GB2312" w:hint="eastAsia"/>
          <w:sz w:val="30"/>
          <w:szCs w:val="30"/>
          <w:highlight w:val="none"/>
          <w:lang w:val="en-US" w:eastAsia="zh-CN"/>
        </w:rPr>
        <w:t xml:space="preserve">决算数较上年减少的主要原因是落实过紧日子思想，公务接待次数减少。</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决算数与预算数持平的主要原因是本年未用财政拨款经费列支因公出国（境）费；</w:t>
      </w:r>
      <w:r>
        <w:rPr>
          <w:rFonts w:eastAsia="仿宋_GB2312" w:hint="eastAsia"/>
          <w:sz w:val="30"/>
          <w:szCs w:val="30"/>
          <w:highlight w:val="none"/>
          <w:lang w:val="en-US" w:eastAsia="zh-CN"/>
        </w:rPr>
        <w:t xml:space="preserve">决算数较上年持平的主要原因是本年未用财政拨款经费列支因公出国（境）费。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15,000.00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15,000.00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支出决算较上年增加4.41元</w:t>
      </w:r>
      <w:r>
        <w:rPr>
          <w:rFonts w:eastAsia="仿宋_GB2312" w:hint="eastAsia"/>
          <w:sz w:val="30"/>
          <w:szCs w:val="30"/>
          <w:highlight w:val="none"/>
          <w:lang w:val="en-US" w:eastAsia="zh-CN"/>
        </w:rPr>
        <w:t xml:space="preserve">，增长0.03%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决算数与预算数持平的主要原因是厉行节约，严格按照预算执行，合理安排公车使用；</w:t>
      </w:r>
      <w:r>
        <w:rPr>
          <w:rFonts w:eastAsia="仿宋_GB2312" w:hint="eastAsia"/>
          <w:sz w:val="30"/>
          <w:szCs w:val="30"/>
          <w:highlight w:val="none"/>
          <w:lang w:val="en-US" w:eastAsia="zh-CN"/>
        </w:rPr>
        <w:t xml:space="preserve">决算数较上年增加的主要原因是公务用车相关运行维护费增加。</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15,000.00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15,000.00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，完成预算的100.00%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支出决算较上年增加4.41元</w:t>
      </w:r>
      <w:r>
        <w:rPr>
          <w:rFonts w:eastAsia="仿宋_GB2312" w:hint="eastAsia"/>
          <w:sz w:val="30"/>
          <w:szCs w:val="30"/>
          <w:highlight w:val="none"/>
          <w:lang w:val="en-US" w:eastAsia="zh-CN"/>
        </w:rPr>
        <w:t xml:space="preserve">，增长0.03%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决算数与预算数持平的主要原因是厉行节约，严格按照预算执行，合理安排公车使用；</w:t>
      </w:r>
      <w:r>
        <w:rPr>
          <w:rFonts w:eastAsia="仿宋_GB2312" w:hint="eastAsia"/>
          <w:sz w:val="30"/>
          <w:szCs w:val="30"/>
          <w:highlight w:val="none"/>
          <w:lang w:val="en-US" w:eastAsia="zh-CN"/>
        </w:rPr>
        <w:t xml:space="preserve">决算数较上年增加的主要原因是公务用车相关运行维护费增加。</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决算数与预算数持平的主要原因是本年未用财政拨款经费列支公务用车购置费；</w:t>
      </w:r>
      <w:r>
        <w:rPr>
          <w:rFonts w:eastAsia="仿宋_GB2312" w:hint="eastAsia"/>
          <w:sz w:val="30"/>
          <w:szCs w:val="30"/>
          <w:highlight w:val="none"/>
          <w:lang w:val="en-US" w:eastAsia="zh-CN"/>
        </w:rPr>
        <w:t xml:space="preserve">决算数较上年持平的主要原因是本年未用财政拨款经费列支公务用车购置费。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10,000.00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3,115.00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减少6,885.00元</w:t>
      </w:r>
      <w:r>
        <w:rPr>
          <w:rFonts w:eastAsia="仿宋_GB2312" w:hint="eastAsia"/>
          <w:sz w:val="30"/>
          <w:szCs w:val="30"/>
          <w:highlight w:val="none"/>
          <w:lang w:val="en-US" w:eastAsia="zh-CN"/>
        </w:rPr>
        <w:t xml:space="preserve">，完成预算的31.15%</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支出决算较上年减少1,619.00元</w:t>
      </w:r>
      <w:r>
        <w:rPr>
          <w:rFonts w:eastAsia="仿宋_GB2312" w:hint="eastAsia"/>
          <w:sz w:val="30"/>
          <w:szCs w:val="30"/>
          <w:highlight w:val="none"/>
          <w:lang w:val="en-US" w:eastAsia="zh-CN"/>
        </w:rPr>
        <w:t xml:space="preserve">，下降34.20%</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决算数小于预算数的主要原因是厉行节约，严格按照预算执行，合理安排公务接待费支出；</w:t>
      </w:r>
      <w:r>
        <w:rPr>
          <w:rFonts w:eastAsia="仿宋_GB2312" w:hint="eastAsia"/>
          <w:sz w:val="30"/>
          <w:szCs w:val="30"/>
          <w:highlight w:val="none"/>
          <w:lang w:val="en-US" w:eastAsia="zh-CN"/>
        </w:rPr>
        <w:t xml:space="preserve">决算数较上年减少的主要原因是厉行节约，公务接待次数减少，压减公务接待费支出。</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27</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30303"/>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天津科学技术馆2025年度无机关运行经费。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3597"/>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天津科学技术馆2025年政府采购支出总额3,622,767.92元，其中：政府采购货物支出27,020.00元、政府采购工程支出0.00元、政府采购服务支出3,595,747.92元。授予中小企业合同金额3,622,767.92元，占政府采购支出总额的100.00%，其中：授予小微企业合同金额1,740,967.92元，占政府采购支出总额的48.06%；货物采购授予中小企业合同金额占货物支出金额的100.00%，工程采购授予中小企业合同金额占工程支出金额的0.00%，服务采购授予中小企业合同金额占服务支出金额的100.00%。</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32039"/>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截至2025年12月31日，天津科学技术馆共有车辆1辆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其他用车1辆</w:t>
      </w:r>
      <w:r>
        <w:rPr>
          <w:rFonts w:eastAsia="仿宋_GB2312" w:hint="eastAsia"/>
          <w:sz w:val="30"/>
          <w:szCs w:val="30"/>
          <w:highlight w:val="none"/>
          <w:lang w:val="en-US" w:eastAsia="zh-CN"/>
        </w:rPr>
        <w:t xml:space="preserve">，其他用车主要包括7人座商务车</w:t>
      </w:r>
      <w:r>
        <w:rPr>
          <w:rFonts w:eastAsia="仿宋_GB2312" w:hint="eastAsia"/>
          <w:sz w:val="30"/>
          <w:szCs w:val="30"/>
          <w:highlight w:val="none"/>
          <w:lang w:val="en-US" w:eastAsia="zh-CN"/>
        </w:rPr>
        <w:t xml:space="preserve">。单价100万元以上的设备5台（套）。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2201"/>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根据预算绩效管理要求，天津科学技术馆已对6个2025年度市级项目开展绩效自评，涉及金额20,115,466.58元，自评结果已随部门决算一并公开。</w:t>
      </w:r>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本部门2025年度未开展部门评价。</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10864"/>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天津科学技术馆不属于乡、镇、街级单位，不涉及公开2025年度教育、医疗卫生、社会保障和就业、住房保障、涉农补贴等民生支出情况。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19733"/>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53BCB4AA-DC90-40E8-9B7E-D8364773EA3A}"/>
    <w:embedBold r:id="rId2" w:subsetted="1" w:fontKey="{922AF25E-5576-4854-86BC-82DC05ED8D24}"/>
  </w:font>
  <w:font w:name="Cambria">
    <w:panose1 w:val="02040503050406030204"/>
    <w:charset w:val="00"/>
    <w:family w:val="roman"/>
    <w:pitch w:val="default"/>
    <w:sig w:usb0="E00006FF" w:usb1="420024FF" w:usb2="02000000" w:usb3="00000000" w:csb0="2000019F" w:csb1="00000000"/>
    <w:embedRegular r:id="rId3" w:fontKey="{47E03FD7-C056-4E3A-801A-741901B78915}"/>
  </w:font>
  <w:font w:name="Calibri">
    <w:panose1 w:val="020F0502020204030204"/>
    <w:charset w:val="00"/>
    <w:family w:val="swiss"/>
    <w:pitch w:val="default"/>
    <w:sig w:usb0="E4002EFF" w:usb1="C200247B" w:usb2="00000009" w:usb3="00000000" w:csb0="200001FF" w:csb1="00000000"/>
    <w:embedRegular r:id="rId4" w:fontKey="{CF072E0B-A643-4C38-8AD4-42730940CC69}"/>
  </w:font>
  <w:font w:name="黑体">
    <w:panose1 w:val="02010609060101010101"/>
    <w:charset w:val="FFFFFF86"/>
    <w:family w:val="auto"/>
    <w:pitch w:val="default"/>
    <w:sig w:usb0="800002BF" w:usb1="38CF7CFA" w:usb2="00000016" w:usb3="00000000" w:csb0="00040001" w:csb1="00000000"/>
    <w:embedRegular r:id="rId5" w:subsetted="1" w:fontKey="{B912E2CA-39FC-4AC8-908A-BE0DADEF219E}"/>
    <w:embedBold r:id="rId6" w:subsetted="1" w:fontKey="{0209D6CC-3E01-4961-ACA3-B72395AB71F2}"/>
  </w:font>
  <w:font w:name="方正小标宋简体">
    <w:altName w:val="黑体"/>
    <w:panose1 w:val="02000000000000000000"/>
    <w:charset w:val="FFFFFF86"/>
    <w:family w:val="auto"/>
    <w:pitch w:val="default"/>
    <w:sig w:usb0="00000001" w:usb1="08000000" w:usb2="00000000" w:usb3="00000000" w:csb0="00040000" w:csb1="00000000"/>
    <w:embedRegular r:id="rId7" w:fontKey="{9CD91F34-F6EB-4658-87F5-96974BCB99EC}"/>
    <w:embedBold r:id="rId8" w:fontKey="{FD0A1971-E182-4A22-B5F6-15D60F53A8AC}"/>
  </w:font>
  <w:font w:name="仿宋">
    <w:panose1 w:val="02010609060101010101"/>
    <w:charset w:val="FFFFFF86"/>
    <w:family w:val="auto"/>
    <w:pitch w:val="default"/>
    <w:sig w:usb0="800002BF" w:usb1="38CF7CFA" w:usb2="00000016" w:usb3="00000000" w:csb0="00040001" w:csb1="00000000"/>
    <w:embedRegular r:id="rId9" w:subsetted="1" w:fontKey="{3E006E76-5B52-493B-82BC-97F86E068EC5}"/>
  </w:font>
  <w:font w:name="方正仿宋_GB2312">
    <w:altName w:val="仿宋"/>
    <w:panose1 w:val="02000000000000000000"/>
    <w:charset w:val="FFFFFF86"/>
    <w:family w:val="auto"/>
    <w:pitch w:val="default"/>
    <w:sig w:usb0="A00002BF" w:usb1="184F6CFA" w:usb2="00000012" w:usb3="00000000" w:csb0="00040001" w:csb1="00000000"/>
  </w:font>
  <w:font w:name="仿宋_GB2312">
    <w:altName w:val="仿宋"/>
    <w:panose1 w:val="02010609030101010101"/>
    <w:charset w:val="FFFFFF86"/>
    <w:family w:val="auto"/>
    <w:pitch w:val="default"/>
    <w:sig w:usb0="00000001" w:usb1="080E0000" w:usb2="00000000" w:usb3="00000000" w:csb0="00040000" w:csb1="00000000"/>
    <w:embedRegular r:id="rId10" w:fontKey="{23B88052-0A6A-44CA-9F79-064717B480CC}"/>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1" w:subsetted="1" w:fontKey="{579FC274-BD5E-4251-A5F4-883FAD658FA6}"/>
    <w:embedBold r:id="rId12" w:subsetted="1" w:fontKey="{A5B8E360-F5ED-42E7-A225-F7A10FBEBC89}"/>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19</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27</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30</Pages>
  <Words>3930</Words>
  <Characters>23360</Characters>
  <Application>WPS Office_12.1.0.28043_F1E327BC-269C-435d-A152-05C5408002CA</Application>
  <DocSecurity>0</DocSecurity>
  <Lines>60</Lines>
  <Paragraphs>16</Paragraphs>
  <ScaleCrop>false</ScaleCrop>
  <Company>Microsoft</Company>
  <LinksUpToDate>false</LinksUpToDate>
  <CharactersWithSpaces>23943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2026-08-26T09:19:30Z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A5A403E1C15441A0A57FA6556FC3E287_13</vt:lpwstr>
  </property>
  <property fmtid="{D5CDD505-2E9C-101B-9397-08002B2CF9AE}" pid="4" name="KSOTemplateDocerSaveRecord">
    <vt:lpwstr>eyJoZGlkIjoiMGMwOGFkMDkyMGVjOWVjMzc0YjBmOTUwNDI2MGMxYmMiLCJ1c2VySWQiOiI4ODc2NjQ3MTcifQ_x003D__x003D_</vt:lpwstr>
  </property>
</Properties>
</file>